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69" w:rsidRPr="00F863D6" w:rsidRDefault="00637469" w:rsidP="00637469">
      <w:pPr>
        <w:pStyle w:val="SemEspaamento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TERMO DE FOMENTO nº </w:t>
      </w:r>
      <w:r w:rsidR="00F56E63">
        <w:rPr>
          <w:rFonts w:ascii="Arial Narrow" w:hAnsi="Arial Narrow"/>
          <w:b/>
          <w:sz w:val="21"/>
          <w:szCs w:val="21"/>
        </w:rPr>
        <w:t>001/2018 -</w:t>
      </w:r>
      <w:r w:rsidRPr="00F863D6">
        <w:rPr>
          <w:rFonts w:ascii="Arial Narrow" w:hAnsi="Arial Narrow"/>
          <w:b/>
          <w:sz w:val="21"/>
          <w:szCs w:val="21"/>
        </w:rPr>
        <w:t xml:space="preserve"> PML</w:t>
      </w:r>
    </w:p>
    <w:p w:rsidR="00637469" w:rsidRPr="00F863D6" w:rsidRDefault="00637469" w:rsidP="00637469">
      <w:pPr>
        <w:pStyle w:val="SemEspaamento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INEXIGIBILIDADE DE CHAMAMENTO PÚBLICO nº </w:t>
      </w:r>
      <w:r w:rsidR="00F17AE0">
        <w:rPr>
          <w:rFonts w:ascii="Arial Narrow" w:hAnsi="Arial Narrow"/>
          <w:b/>
          <w:sz w:val="21"/>
          <w:szCs w:val="21"/>
        </w:rPr>
        <w:t xml:space="preserve">001/2018 </w:t>
      </w:r>
      <w:r w:rsidRPr="00F863D6">
        <w:rPr>
          <w:rFonts w:ascii="Arial Narrow" w:hAnsi="Arial Narrow"/>
          <w:b/>
          <w:sz w:val="21"/>
          <w:szCs w:val="21"/>
        </w:rPr>
        <w:t>- PML</w:t>
      </w:r>
    </w:p>
    <w:p w:rsidR="00637469" w:rsidRPr="00F863D6" w:rsidRDefault="00637469" w:rsidP="00637469">
      <w:pPr>
        <w:pStyle w:val="SemEspaamento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PROCESSO ADMINISTRATIVO nº </w:t>
      </w:r>
      <w:r w:rsidR="00F17AE0">
        <w:rPr>
          <w:rFonts w:ascii="Arial Narrow" w:hAnsi="Arial Narrow"/>
          <w:b/>
          <w:sz w:val="21"/>
          <w:szCs w:val="21"/>
        </w:rPr>
        <w:t>001/2018 -</w:t>
      </w:r>
      <w:r w:rsidRPr="00F863D6">
        <w:rPr>
          <w:rFonts w:ascii="Arial Narrow" w:hAnsi="Arial Narrow"/>
          <w:b/>
          <w:sz w:val="21"/>
          <w:szCs w:val="21"/>
        </w:rPr>
        <w:t xml:space="preserve"> PML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F17AE0" w:rsidP="00637469">
      <w:pPr>
        <w:pStyle w:val="SemEspaamento"/>
        <w:ind w:firstLine="2268"/>
        <w:jc w:val="both"/>
        <w:rPr>
          <w:rFonts w:ascii="Arial Narrow" w:hAnsi="Arial Narrow"/>
          <w:vanish/>
          <w:sz w:val="21"/>
          <w:szCs w:val="21"/>
          <w:specVanish/>
        </w:rPr>
      </w:pPr>
      <w:r>
        <w:rPr>
          <w:rFonts w:ascii="Arial Narrow" w:hAnsi="Arial Narrow"/>
          <w:sz w:val="21"/>
          <w:szCs w:val="21"/>
        </w:rPr>
        <w:t xml:space="preserve">O presente </w:t>
      </w:r>
      <w:r w:rsidR="00637469" w:rsidRPr="00F863D6">
        <w:rPr>
          <w:rFonts w:ascii="Arial Narrow" w:hAnsi="Arial Narrow"/>
          <w:sz w:val="21"/>
          <w:szCs w:val="21"/>
        </w:rPr>
        <w:t xml:space="preserve">Termo de Parceria que entre si celebram, de um lado o </w:t>
      </w:r>
      <w:r w:rsidR="00637469" w:rsidRPr="00F863D6">
        <w:rPr>
          <w:rFonts w:ascii="Arial Narrow" w:hAnsi="Arial Narrow"/>
          <w:b/>
          <w:sz w:val="21"/>
          <w:szCs w:val="21"/>
        </w:rPr>
        <w:t>MUNICÍPIO DE LUZERNA/SC,</w:t>
      </w:r>
      <w:r w:rsidR="00637469" w:rsidRPr="00F863D6">
        <w:rPr>
          <w:rFonts w:ascii="Arial Narrow" w:hAnsi="Arial Narrow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por </w:t>
      </w:r>
      <w:r w:rsidR="00637469" w:rsidRPr="00F863D6">
        <w:rPr>
          <w:rFonts w:ascii="Arial Narrow" w:hAnsi="Arial Narrow"/>
          <w:color w:val="000000"/>
          <w:sz w:val="21"/>
          <w:szCs w:val="21"/>
        </w:rPr>
        <w:t xml:space="preserve">seu Prefeito Municipal, </w:t>
      </w:r>
      <w:r w:rsidR="00637469" w:rsidRPr="00F863D6">
        <w:rPr>
          <w:rFonts w:ascii="Arial Narrow" w:hAnsi="Arial Narrow"/>
          <w:b/>
          <w:bCs/>
          <w:color w:val="000000"/>
          <w:sz w:val="21"/>
          <w:szCs w:val="21"/>
        </w:rPr>
        <w:t>MOISÉS DIERSMANN</w:t>
      </w:r>
      <w:r w:rsidR="00637469" w:rsidRPr="00F863D6">
        <w:rPr>
          <w:rFonts w:ascii="Arial Narrow" w:hAnsi="Arial Narrow"/>
          <w:color w:val="000000"/>
          <w:sz w:val="21"/>
          <w:szCs w:val="21"/>
        </w:rPr>
        <w:t>, brasileiro, maior e capaz, casado, professor, inscrito no CPF/MF sob o nº 295.616.129-68, e portador da cédula de identidade RG nº 11/R 227.997</w:t>
      </w:r>
      <w:r w:rsidR="00637469" w:rsidRPr="00F863D6">
        <w:rPr>
          <w:rFonts w:ascii="Arial Narrow" w:hAnsi="Arial Narrow"/>
          <w:sz w:val="21"/>
          <w:szCs w:val="21"/>
        </w:rPr>
        <w:t xml:space="preserve">, doravante denominada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="00637469" w:rsidRPr="00F863D6">
        <w:rPr>
          <w:rFonts w:ascii="Arial Narrow" w:hAnsi="Arial Narrow"/>
          <w:sz w:val="21"/>
          <w:szCs w:val="21"/>
        </w:rPr>
        <w:t xml:space="preserve">e a </w:t>
      </w:r>
      <w:r w:rsidR="00F56E63">
        <w:rPr>
          <w:rFonts w:ascii="Arial Narrow" w:hAnsi="Arial Narrow"/>
          <w:b/>
        </w:rPr>
        <w:t>AJEC – ASSOCIAÇÃO JOAÇABA DE ESPORTE E CULTURA</w:t>
      </w:r>
      <w:r w:rsidR="00F56E63" w:rsidRPr="00ED7179">
        <w:rPr>
          <w:rFonts w:ascii="Arial Narrow" w:hAnsi="Arial Narrow"/>
        </w:rPr>
        <w:t>, pessoa jurídica de direito privado, entidade sem fins lucrativos,</w:t>
      </w:r>
      <w:r w:rsidR="00F56E63">
        <w:rPr>
          <w:rFonts w:ascii="Arial Narrow" w:hAnsi="Arial Narrow"/>
        </w:rPr>
        <w:t xml:space="preserve"> </w:t>
      </w:r>
      <w:r w:rsidR="00F56E63" w:rsidRPr="00ED7179">
        <w:rPr>
          <w:rFonts w:ascii="Arial Narrow" w:hAnsi="Arial Narrow"/>
        </w:rPr>
        <w:t xml:space="preserve">inscrita sob o CNPJ nº </w:t>
      </w:r>
      <w:r w:rsidR="00F56E63">
        <w:rPr>
          <w:rFonts w:ascii="Arial Narrow" w:hAnsi="Arial Narrow"/>
        </w:rPr>
        <w:t>06.066.796/0001-61</w:t>
      </w:r>
      <w:r w:rsidR="00F56E63" w:rsidRPr="00ED7179">
        <w:rPr>
          <w:rFonts w:ascii="Arial Narrow" w:hAnsi="Arial Narrow"/>
        </w:rPr>
        <w:t xml:space="preserve">, </w:t>
      </w:r>
      <w:r w:rsidR="00F56E63">
        <w:rPr>
          <w:rFonts w:ascii="Arial Narrow" w:hAnsi="Arial Narrow"/>
        </w:rPr>
        <w:t>com sede na Avenida XV de Novembro, 530, Joaçaba/SC,</w:t>
      </w:r>
      <w:r w:rsidR="00637469" w:rsidRPr="00F863D6">
        <w:rPr>
          <w:rFonts w:ascii="Arial Narrow" w:hAnsi="Arial Narrow" w:cs="Arial"/>
          <w:sz w:val="21"/>
          <w:szCs w:val="21"/>
        </w:rPr>
        <w:t xml:space="preserve"> neste ato representado por seu Presidente Senhor </w:t>
      </w:r>
      <w:r w:rsidR="008B3F70">
        <w:rPr>
          <w:rFonts w:ascii="Arial Narrow" w:hAnsi="Arial Narrow" w:cs="Arial"/>
          <w:b/>
          <w:sz w:val="21"/>
          <w:szCs w:val="21"/>
        </w:rPr>
        <w:t>MAICON EDUARDO BORTOLUZ</w:t>
      </w:r>
      <w:r w:rsidR="00637469" w:rsidRPr="00F863D6">
        <w:rPr>
          <w:rFonts w:ascii="Arial Narrow" w:hAnsi="Arial Narrow" w:cs="Arial"/>
          <w:sz w:val="21"/>
          <w:szCs w:val="21"/>
        </w:rPr>
        <w:t xml:space="preserve">, brasileiro, </w:t>
      </w:r>
      <w:r w:rsidR="00DB20FB">
        <w:rPr>
          <w:rFonts w:ascii="Arial Narrow" w:hAnsi="Arial Narrow" w:cs="Arial"/>
          <w:sz w:val="21"/>
          <w:szCs w:val="21"/>
        </w:rPr>
        <w:t>farmacêutico</w:t>
      </w:r>
      <w:r w:rsidR="00637469" w:rsidRPr="00F863D6">
        <w:rPr>
          <w:rFonts w:ascii="Arial Narrow" w:hAnsi="Arial Narrow" w:cs="Arial"/>
          <w:sz w:val="21"/>
          <w:szCs w:val="21"/>
        </w:rPr>
        <w:t xml:space="preserve">, portador do RG nº </w:t>
      </w:r>
      <w:r w:rsidR="00DB20FB">
        <w:rPr>
          <w:rFonts w:ascii="Arial Narrow" w:hAnsi="Arial Narrow" w:cs="Arial"/>
          <w:sz w:val="21"/>
          <w:szCs w:val="21"/>
        </w:rPr>
        <w:t>2.823.950</w:t>
      </w:r>
      <w:r w:rsidR="00637469" w:rsidRPr="00F863D6">
        <w:rPr>
          <w:rFonts w:ascii="Arial Narrow" w:hAnsi="Arial Narrow" w:cs="Arial"/>
          <w:sz w:val="21"/>
          <w:szCs w:val="21"/>
        </w:rPr>
        <w:t xml:space="preserve"> e inscrito no CPF/MF sob o nº </w:t>
      </w:r>
      <w:r w:rsidR="00DB20FB">
        <w:rPr>
          <w:rFonts w:ascii="Arial Narrow" w:hAnsi="Arial Narrow" w:cs="Arial"/>
          <w:sz w:val="21"/>
          <w:szCs w:val="21"/>
        </w:rPr>
        <w:t>003.967.399-13</w:t>
      </w:r>
      <w:r w:rsidR="00637469" w:rsidRPr="00F863D6">
        <w:rPr>
          <w:rFonts w:ascii="Arial Narrow" w:hAnsi="Arial Narrow"/>
          <w:sz w:val="21"/>
          <w:szCs w:val="21"/>
        </w:rPr>
        <w:t xml:space="preserve">, doravante denominada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="00637469" w:rsidRPr="00F863D6">
        <w:rPr>
          <w:rFonts w:ascii="Arial Narrow" w:hAnsi="Arial Narrow"/>
          <w:sz w:val="21"/>
          <w:szCs w:val="21"/>
        </w:rPr>
        <w:t xml:space="preserve">, nos termos da Lei n° 13.019, de 31 de julho de 2014 e suas alterações posteriores, bem como do Decreto nº 2360 de 02 de maio de 2017 e da Lei nº </w:t>
      </w:r>
      <w:r>
        <w:rPr>
          <w:rFonts w:ascii="Arial Narrow" w:hAnsi="Arial Narrow"/>
          <w:sz w:val="21"/>
          <w:szCs w:val="21"/>
        </w:rPr>
        <w:t>1576, de 13 de março de 2018</w:t>
      </w:r>
      <w:r w:rsidR="00637469" w:rsidRPr="00F863D6">
        <w:rPr>
          <w:rFonts w:ascii="Arial Narrow" w:hAnsi="Arial Narrow"/>
          <w:sz w:val="21"/>
          <w:szCs w:val="21"/>
        </w:rPr>
        <w:t xml:space="preserve">, resolvem celebrar o presente </w:t>
      </w:r>
      <w:r w:rsidR="00637469" w:rsidRPr="00F863D6">
        <w:rPr>
          <w:rFonts w:ascii="Arial Narrow" w:hAnsi="Arial Narrow"/>
          <w:b/>
          <w:sz w:val="21"/>
          <w:szCs w:val="21"/>
        </w:rPr>
        <w:t>TERMO DE PARCERIA</w:t>
      </w:r>
      <w:r w:rsidR="00637469" w:rsidRPr="00F863D6">
        <w:rPr>
          <w:rFonts w:ascii="Arial Narrow" w:hAnsi="Arial Narrow"/>
          <w:sz w:val="21"/>
          <w:szCs w:val="21"/>
        </w:rPr>
        <w:t xml:space="preserve">, mediante as seguintes cláusulas e </w:t>
      </w:r>
      <w:proofErr w:type="gramStart"/>
      <w:r w:rsidR="00637469" w:rsidRPr="00F863D6">
        <w:rPr>
          <w:rFonts w:ascii="Arial Narrow" w:hAnsi="Arial Narrow"/>
          <w:sz w:val="21"/>
          <w:szCs w:val="21"/>
        </w:rPr>
        <w:t>condições:</w:t>
      </w:r>
      <w:proofErr w:type="gramEnd"/>
    </w:p>
    <w:p w:rsidR="00637469" w:rsidRDefault="00637469" w:rsidP="00637469">
      <w:pPr>
        <w:pStyle w:val="SemEspaamento"/>
        <w:ind w:firstLine="2268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D46BAC" w:rsidRPr="00D46BAC" w:rsidRDefault="00D46BAC" w:rsidP="00637469">
      <w:pPr>
        <w:pStyle w:val="SemEspaamento"/>
        <w:ind w:firstLine="2268"/>
        <w:jc w:val="both"/>
        <w:rPr>
          <w:rFonts w:ascii="Arial Narrow" w:hAnsi="Arial Narrow"/>
          <w:sz w:val="14"/>
          <w:szCs w:val="21"/>
        </w:rPr>
      </w:pPr>
      <w:bookmarkStart w:id="0" w:name="_GoBack"/>
      <w:bookmarkEnd w:id="0"/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PRIMEIRA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DO OBJETO</w:t>
      </w:r>
    </w:p>
    <w:p w:rsidR="00637469" w:rsidRDefault="00637469" w:rsidP="00D46BAC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O presente tem como objeto a conjugação de esforços entre o </w:t>
      </w:r>
      <w:r w:rsidRPr="00F863D6">
        <w:rPr>
          <w:rFonts w:ascii="Arial Narrow" w:hAnsi="Arial Narrow"/>
          <w:b/>
          <w:sz w:val="21"/>
          <w:szCs w:val="21"/>
        </w:rPr>
        <w:t>MUNICÍPIO</w:t>
      </w:r>
      <w:r w:rsidRPr="00F863D6">
        <w:rPr>
          <w:rFonts w:ascii="Arial Narrow" w:hAnsi="Arial Narrow"/>
          <w:sz w:val="21"/>
          <w:szCs w:val="21"/>
        </w:rPr>
        <w:t xml:space="preserve"> e a </w:t>
      </w:r>
      <w:r w:rsidR="00D46BAC">
        <w:rPr>
          <w:rFonts w:ascii="Arial Narrow" w:hAnsi="Arial Narrow"/>
          <w:b/>
        </w:rPr>
        <w:t>AJEC – ASSOCIAÇÃO JOAÇABA DE ESPORTE E CULTURA</w:t>
      </w:r>
      <w:r w:rsidRPr="00F863D6">
        <w:rPr>
          <w:rFonts w:ascii="Arial Narrow" w:hAnsi="Arial Narrow"/>
          <w:sz w:val="21"/>
          <w:szCs w:val="21"/>
        </w:rPr>
        <w:t xml:space="preserve">, para repasse financeiro, </w:t>
      </w:r>
      <w:r w:rsidR="00D46BAC" w:rsidRPr="00D46BAC">
        <w:rPr>
          <w:rFonts w:ascii="Arial Narrow" w:hAnsi="Arial Narrow"/>
          <w:sz w:val="21"/>
          <w:szCs w:val="21"/>
        </w:rPr>
        <w:t xml:space="preserve">cujo objetivo é fomentar o </w:t>
      </w:r>
      <w:r w:rsidR="00D46BAC" w:rsidRPr="00D46BAC">
        <w:rPr>
          <w:rFonts w:ascii="Arial Narrow" w:hAnsi="Arial Narrow"/>
          <w:b/>
          <w:sz w:val="21"/>
          <w:szCs w:val="21"/>
        </w:rPr>
        <w:t>PROGRAMA LUZERNA/JOAÇABA FUTSAL - CATEGORIA SUB 18</w:t>
      </w:r>
      <w:r w:rsidR="00D46BAC" w:rsidRPr="00D46BAC">
        <w:rPr>
          <w:rFonts w:ascii="Arial Narrow" w:hAnsi="Arial Narrow"/>
          <w:sz w:val="21"/>
          <w:szCs w:val="21"/>
        </w:rPr>
        <w:t xml:space="preserve"> para incentivar, por meio de atividades sociais e de rendimento destinados às crianças e adolescentes, a formação de atletas com padrão técnico, tático, físico e cognitivo, objetivando a transformação destes em futuros atletas profissionais, em consonância à Lei Municipal nº 1576 de 13 de março de 2018.</w:t>
      </w:r>
    </w:p>
    <w:p w:rsidR="00D46BAC" w:rsidRPr="00F863D6" w:rsidRDefault="00D46BAC" w:rsidP="00D46BAC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Paragrafo único. A Parceria firmada será executada nos termos do Plano de Trabalho.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SEGUNDA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DAS OBRIGAÇÕES DAS PARTES</w:t>
      </w:r>
    </w:p>
    <w:p w:rsidR="00637469" w:rsidRPr="00F863D6" w:rsidRDefault="007B2366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 - Compete a</w:t>
      </w:r>
      <w:r w:rsidR="00637469" w:rsidRPr="00F863D6">
        <w:rPr>
          <w:rFonts w:ascii="Arial Narrow" w:hAnsi="Arial Narrow"/>
          <w:sz w:val="21"/>
          <w:szCs w:val="21"/>
        </w:rPr>
        <w:t xml:space="preserve"> </w:t>
      </w:r>
      <w:r w:rsidR="004A2152">
        <w:rPr>
          <w:rFonts w:ascii="Arial Narrow" w:hAnsi="Arial Narrow"/>
          <w:b/>
          <w:sz w:val="21"/>
          <w:szCs w:val="21"/>
        </w:rPr>
        <w:t>ADMINISTRAÇÃO PÚBLICA MUNICIPAL</w:t>
      </w:r>
      <w:r w:rsidR="00637469" w:rsidRPr="00F863D6">
        <w:rPr>
          <w:rFonts w:ascii="Arial Narrow" w:hAnsi="Arial Narrow"/>
          <w:sz w:val="21"/>
          <w:szCs w:val="21"/>
        </w:rPr>
        <w:t>: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repassar os recursos financeiros para a execução desta Parceria, conforme estipulado na Cláusula Terceira.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indicar instituição financeira, ou se já existente, homologá-la, para a manutenção e movimentação das receitas, custos e despesas atinentes ao objeto da Parceria definidos no Plano de Trabalho.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prestar as informações e os esclarecimentos necessários ao acompanhamento e controle na execução deste Termo de Parceria.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d) supervisionar as atividades de execução, avaliando os seus resultados e seus reflexos, podendo assumir ou transferir a responsabilidade da execução no caso de paralisação ou fato relevante que venha a ocorrer, de modo a evitar a descontinuidade do objeto.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e) monitorar, fiscalizar, avaliar e aprovar a execução físico-financeira do plano de trabalho, assim como das prestações de contas e demais documentos exigidos neste instrumento e na legislação em vigor, necessários à execução do objeto do Termo de Parceria.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f) prorrogar os prazos de início e/ou conclusão do objeto da Parceria, na mesma proporção do atraso dos repasses das transferências financeiras, desde que 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não tenha contribuído para este atraso.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g) divulgar/viabilizar em seu site oficial na internet: </w:t>
      </w:r>
    </w:p>
    <w:p w:rsidR="00637469" w:rsidRPr="00F863D6" w:rsidRDefault="00637469" w:rsidP="00637469">
      <w:pPr>
        <w:pStyle w:val="SemEspaamento"/>
        <w:tabs>
          <w:tab w:val="left" w:pos="2490"/>
        </w:tabs>
        <w:jc w:val="both"/>
        <w:rPr>
          <w:rFonts w:ascii="Arial Narrow" w:hAnsi="Arial Narrow"/>
          <w:sz w:val="21"/>
          <w:szCs w:val="21"/>
        </w:rPr>
      </w:pPr>
      <w:proofErr w:type="gramStart"/>
      <w:r w:rsidRPr="00F863D6">
        <w:rPr>
          <w:rFonts w:ascii="Arial Narrow" w:hAnsi="Arial Narrow"/>
          <w:sz w:val="21"/>
          <w:szCs w:val="21"/>
        </w:rPr>
        <w:t>g.</w:t>
      </w:r>
      <w:proofErr w:type="gramEnd"/>
      <w:r w:rsidRPr="00F863D6">
        <w:rPr>
          <w:rFonts w:ascii="Arial Narrow" w:hAnsi="Arial Narrow"/>
          <w:sz w:val="21"/>
          <w:szCs w:val="21"/>
        </w:rPr>
        <w:t>1) a parceria celebrada;</w:t>
      </w:r>
      <w:r w:rsidRPr="00F863D6">
        <w:rPr>
          <w:rFonts w:ascii="Arial Narrow" w:hAnsi="Arial Narrow"/>
          <w:sz w:val="21"/>
          <w:szCs w:val="21"/>
        </w:rPr>
        <w:tab/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proofErr w:type="gramStart"/>
      <w:r w:rsidRPr="00F863D6">
        <w:rPr>
          <w:rFonts w:ascii="Arial Narrow" w:hAnsi="Arial Narrow"/>
          <w:sz w:val="21"/>
          <w:szCs w:val="21"/>
        </w:rPr>
        <w:t>g.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2) os meios para apresentação de denúncia sobre a aplicação irregular dos recursos transferidos; e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proofErr w:type="gramStart"/>
      <w:r w:rsidRPr="00F863D6">
        <w:rPr>
          <w:rFonts w:ascii="Arial Narrow" w:hAnsi="Arial Narrow"/>
          <w:sz w:val="21"/>
          <w:szCs w:val="21"/>
        </w:rPr>
        <w:t>g.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3) o acompanhamento dos processos de liberação de recursos referentes a parceria celebrada.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Compete à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: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Executar fielmente o objeto pactuado, de acordo com o Plano de Trabalho aprovado pela Administração Pública Municipal, adotando todas as medidas necessárias à correta execução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, observado o </w:t>
      </w:r>
      <w:r w:rsidRPr="00F863D6">
        <w:rPr>
          <w:rFonts w:ascii="Arial Narrow" w:hAnsi="Arial Narrow"/>
          <w:sz w:val="21"/>
          <w:szCs w:val="21"/>
        </w:rPr>
        <w:lastRenderedPageBreak/>
        <w:t>disposto na Lei n. 13.019, de 2014, o Decreto nº 2360 de 02</w:t>
      </w:r>
      <w:r w:rsidR="00F56E63">
        <w:rPr>
          <w:rFonts w:ascii="Arial Narrow" w:hAnsi="Arial Narrow"/>
          <w:sz w:val="21"/>
          <w:szCs w:val="21"/>
        </w:rPr>
        <w:t xml:space="preserve"> de maio de 2017 e a Lei nº 1576</w:t>
      </w:r>
      <w:r w:rsidRPr="00F863D6">
        <w:rPr>
          <w:rFonts w:ascii="Arial Narrow" w:hAnsi="Arial Narrow"/>
          <w:sz w:val="21"/>
          <w:szCs w:val="21"/>
        </w:rPr>
        <w:t xml:space="preserve"> de </w:t>
      </w:r>
      <w:r w:rsidR="003C6C17">
        <w:rPr>
          <w:rFonts w:ascii="Arial Narrow" w:hAnsi="Arial Narrow"/>
          <w:sz w:val="21"/>
          <w:szCs w:val="21"/>
        </w:rPr>
        <w:t>13 de março de 2018</w:t>
      </w:r>
      <w:r w:rsidRPr="00F863D6">
        <w:rPr>
          <w:rFonts w:ascii="Arial Narrow" w:hAnsi="Arial Narrow"/>
          <w:sz w:val="21"/>
          <w:szCs w:val="21"/>
        </w:rPr>
        <w:t xml:space="preserve">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Aplicar os recursos discriminados no Plano de Trabalho exclusivamente no objeto do presente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Executar e fiscalizar os trabalhos necessários à consecução do objeto pactuado no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, inclusive os serviços eventualmente contratados, observando a qualidade, quantidade, prazos e custos definidos no Plano de Trabalho;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d) Elaborar os projetos técnicos relacionados ao objeto pactuado, reunir toda documentação jurídica e institucional necessária à celebração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e) Não utilizar os recursos recebidos nas finalidades vedadas pelo art. 45 da Lei n. 13.019/2014;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f) Apresentar Relatório de Execução do Objeto de acordo com o estabelecido nos art. 63 a 72 da Lei nº 13.019/2014;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g) Assegurar, na sua integralidade, a qualidade técnica dos projetos e da execução dos produtos e serviços contratados, em conformidade com as normas brasileiras, ações e atividades, determinando a correção de vícios que possam comprometer a fruição do benefício pela população beneficiária, quando detectados pela Administração Pública Municipal ou pelos órgãos de controle;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h) Submeter previamente à Administração Pública Municipal qualquer proposta de alteração do Plano de Trabalho aprovado, na forma definida neste instrumento, observadas as vedações relativas à execução das despesas;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i) Manter e movimentar os recursos financeiros de que trata 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 em conta específica, aberta em instituição financeira, inclusive os resultantes de eventual aplicação no mercado financeiro, bem assim aqueles oferecidos como contrapartida, aplicando-os, na conformidade do </w:t>
      </w:r>
      <w:proofErr w:type="gramStart"/>
      <w:r w:rsidRPr="00F863D6">
        <w:rPr>
          <w:rFonts w:ascii="Arial Narrow" w:hAnsi="Arial Narrow"/>
          <w:sz w:val="21"/>
          <w:szCs w:val="21"/>
        </w:rPr>
        <w:t>Plano de Trabalho e, exclusivamente, no cumprimento do seu objeto, observadas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as vedações constantes neste instrumento relativas à execução das despesas;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j) Arcar com o pagamento de toda e qualquer despesa excedente aos recursos financeiros fixados neste instrumento, indicados na cláusula atinente ao valor e à dotação orçamentária;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k) Realizar todos os atos e os procedimentos relativos à formalização, execução, acompanhamento</w:t>
      </w:r>
      <w:r w:rsidR="00000AC4">
        <w:rPr>
          <w:rFonts w:ascii="Arial Narrow" w:hAnsi="Arial Narrow"/>
          <w:sz w:val="21"/>
          <w:szCs w:val="21"/>
        </w:rPr>
        <w:t xml:space="preserve">, prestação de contas e demais </w:t>
      </w:r>
      <w:r w:rsidRPr="00F863D6">
        <w:rPr>
          <w:rFonts w:ascii="Arial Narrow" w:hAnsi="Arial Narrow"/>
          <w:sz w:val="21"/>
          <w:szCs w:val="21"/>
        </w:rPr>
        <w:t>informações, quando couber, incluindo regularmente as informações e os documentos exigidos pela Lei 13.019, de 2014, mantendo-o atualizado;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l) Estimular a participação dos beneficiários finais na </w:t>
      </w:r>
      <w:proofErr w:type="gramStart"/>
      <w:r w:rsidRPr="00F863D6">
        <w:rPr>
          <w:rFonts w:ascii="Arial Narrow" w:hAnsi="Arial Narrow"/>
          <w:sz w:val="21"/>
          <w:szCs w:val="21"/>
        </w:rPr>
        <w:t>implementação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do objeto do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, bem como na manutenção do patrimônio gerado por esses investimentos;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m) Garantir a manutenção da equipe técnica em quantidade e qualidade adequadas ao bom desempenho das atividades;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n) Manter registros, arquivos e controles contábeis específicos para os dispêndios relativos a este Termo de Fomento, pelo prazo de 10 (dez) anos, conforme previsto no parágrafo único do art. 68 da Lei nº 13.019/2014;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o) Facilitar a supervisão e a fiscalização da Administração Pública Municipal, permitindo-lhe efetuar acompanhamento in loco e fornecendo, sempre que solicitado, as informações e os documentos relacionados com a execução do objeto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, especialmente no que se refere ao exame da documentação relativa aos contratos celebrados;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p) Permitir o livre acesso de servidores da Administração Pública Municipal e dos órgãos de controle interno e externo, a qualquer tempo e lugar, aos processos, documentos e informações referentes a 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, bem como aos locais de execução do respectivo objeto;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q) Manter, em seu sítio oficial na internet, a relação das parcerias celebradas e dos respectivos planos de trabalho, até 180 (cento e oitenta) dias após o respectivo encerramento, nos termos do art. 10 da Lei nº 13.019/2014;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r) Prestar contas a Administração Pública Municipal, ao término de cada exercício e no encerramento da vigência do Termo de Fomento, nos termos do capítulo IV da Lei nº 13.019, de 2014, e do capítulo VII, do Decreto nº 8.726, de 2016;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s) Responsabilizar-se por todos os encargos de natureza trabalhista, fiscal, comercial e previdenciária, decorrentes de eventuais demandas judiciais relativas a recursos humanos utilizados na execução do objeto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, bem como por todos os encargos tributários ou extraordinários que incidam sobre o presente Instrumento;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t) Assegurar e destacar, obrigatoriamente, a participação da Administração Pública Municipal em toda e qualquer ação, promocional ou não, relacionada com a execução do objeto descrito neste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 e, apor a marca da Administração Pública Municipal nas placas, painéis e outdoors de identificação dos projetos custeados, no todo ou em parte, com os recursos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.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u) Operar, manter e conservar adequadamente o patrimônio público gerado pelos investimentos decorrentes do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, após sua execução, de modo a assegurar a sustentabilidade do projeto e atender as finalidades às quais se destina;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lastRenderedPageBreak/>
        <w:t>v) Manter a Administração Pública Municipal informada sobre situações que eventualmente possam dificultar ou interromper o curso normal da execução do Termo de Fomento e prestar informações sobre as ações desenvolvidas para viabilizar o respectivo acompanhamento e fiscalização.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w) Permitir à Administração Pública Municipal, bem como aos órgãos de controle interno e externo, o acesso à movimentação financeira da conta específica vinculada ao presente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>;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x) Ao tomar conhecimento de qualquer irregularidade ou ilegalidade, dar ciência aos órgãos de controle e, havendo fundada suspeita de crime ou de improbidade administrativa, cientificar o Ministério Público;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y) Garantir a manutenção da capacidade técnica e operacional necessária ao bom desempenho das atividades;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</w:p>
    <w:p w:rsidR="00637469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z) Responder exclusivamente pelo gerenciamento administrativo e financeiro dos recursos recebidos, inclusive no que diz respeito às despesas de custeio, de investimento e de pessoal.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TERCEIRA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DO VALOR DO REPASSE E DA FORMA DE PAGAMENTO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– 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Pr="00F863D6">
        <w:rPr>
          <w:rFonts w:ascii="Arial Narrow" w:hAnsi="Arial Narrow"/>
          <w:sz w:val="21"/>
          <w:szCs w:val="21"/>
        </w:rPr>
        <w:t xml:space="preserve">repassará 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a título de subvenção social o valor mensal estimado de </w:t>
      </w:r>
      <w:r w:rsidRPr="00F863D6">
        <w:rPr>
          <w:rFonts w:ascii="Arial Narrow" w:hAnsi="Arial Narrow"/>
          <w:b/>
          <w:sz w:val="21"/>
          <w:szCs w:val="21"/>
        </w:rPr>
        <w:t xml:space="preserve">R$ </w:t>
      </w:r>
      <w:r w:rsidR="003C6C17">
        <w:rPr>
          <w:rFonts w:ascii="Arial Narrow" w:hAnsi="Arial Narrow"/>
          <w:b/>
          <w:sz w:val="21"/>
          <w:szCs w:val="21"/>
        </w:rPr>
        <w:t xml:space="preserve">4.000,00 </w:t>
      </w:r>
      <w:r w:rsidRPr="00F863D6">
        <w:rPr>
          <w:rFonts w:ascii="Arial Narrow" w:hAnsi="Arial Narrow"/>
          <w:sz w:val="21"/>
          <w:szCs w:val="21"/>
        </w:rPr>
        <w:t>(</w:t>
      </w:r>
      <w:r w:rsidR="003C6C17">
        <w:rPr>
          <w:rFonts w:ascii="Arial Narrow" w:hAnsi="Arial Narrow"/>
          <w:sz w:val="21"/>
          <w:szCs w:val="21"/>
        </w:rPr>
        <w:t>quatro mil reais</w:t>
      </w:r>
      <w:r w:rsidRPr="00F863D6">
        <w:rPr>
          <w:rFonts w:ascii="Arial Narrow" w:hAnsi="Arial Narrow"/>
          <w:sz w:val="21"/>
          <w:szCs w:val="21"/>
        </w:rPr>
        <w:t xml:space="preserve">) por </w:t>
      </w:r>
      <w:r w:rsidR="003C6C17">
        <w:rPr>
          <w:rFonts w:ascii="Arial Narrow" w:hAnsi="Arial Narrow"/>
          <w:sz w:val="21"/>
          <w:szCs w:val="21"/>
        </w:rPr>
        <w:t>mês, pelo período de 09 (nove</w:t>
      </w:r>
      <w:r w:rsidRPr="00F863D6">
        <w:rPr>
          <w:rFonts w:ascii="Arial Narrow" w:hAnsi="Arial Narrow"/>
          <w:sz w:val="21"/>
          <w:szCs w:val="21"/>
        </w:rPr>
        <w:t xml:space="preserve">) meses, totalizando </w:t>
      </w:r>
      <w:r w:rsidRPr="00F863D6">
        <w:rPr>
          <w:rFonts w:ascii="Arial Narrow" w:hAnsi="Arial Narrow"/>
          <w:b/>
          <w:sz w:val="21"/>
          <w:szCs w:val="21"/>
        </w:rPr>
        <w:t xml:space="preserve">R$ </w:t>
      </w:r>
      <w:r w:rsidR="003C6C17">
        <w:rPr>
          <w:rFonts w:ascii="Arial Narrow" w:hAnsi="Arial Narrow"/>
          <w:b/>
          <w:sz w:val="21"/>
          <w:szCs w:val="21"/>
        </w:rPr>
        <w:t>36.000,00</w:t>
      </w:r>
      <w:r w:rsidR="003C6C17" w:rsidRPr="003C6C17">
        <w:rPr>
          <w:rFonts w:ascii="Arial Narrow" w:hAnsi="Arial Narrow"/>
          <w:sz w:val="21"/>
          <w:szCs w:val="21"/>
        </w:rPr>
        <w:t xml:space="preserve"> (trinta e seis mil reais</w:t>
      </w:r>
      <w:r w:rsidR="003C6C17">
        <w:rPr>
          <w:rFonts w:ascii="Arial Narrow" w:hAnsi="Arial Narrow"/>
          <w:sz w:val="21"/>
          <w:szCs w:val="21"/>
        </w:rPr>
        <w:t>) para desenvolver as atividades fixadas e especificadas</w:t>
      </w:r>
      <w:r w:rsidRPr="00F863D6">
        <w:rPr>
          <w:rFonts w:ascii="Arial Narrow" w:hAnsi="Arial Narrow"/>
          <w:sz w:val="21"/>
          <w:szCs w:val="21"/>
        </w:rPr>
        <w:t xml:space="preserve"> no cronograma de desembolso do Plano de Trabalho.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As parcelas dos recursos transferidos no âmbito da parceria serão liberadas em estrita conformidade com o cronograma de desembolso aprovado, exceto nos casos a seguir, nos quais ficarão retidas até o saneamento das impropriedades: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quando houver fundados indícios de não ter ocorrido boa e regular aplicação da parcela anteriormente recebida, na forma da legislação aplicável, inclusive quando aferidos em procedimentos de fiscalização local, realizados periodicamente pelo órgão repassador dos recursos e pelos órgãos de controle interno e externo da </w:t>
      </w:r>
      <w:r w:rsidR="004A2152">
        <w:rPr>
          <w:rFonts w:ascii="Arial Narrow" w:hAnsi="Arial Narrow"/>
          <w:b/>
          <w:sz w:val="21"/>
          <w:szCs w:val="21"/>
        </w:rPr>
        <w:t>ADMINISTRAÇÃO PÚBLICA MUNICIPAL</w:t>
      </w:r>
      <w:r w:rsidRPr="00F863D6">
        <w:rPr>
          <w:rFonts w:ascii="Arial Narrow" w:hAnsi="Arial Narrow"/>
          <w:sz w:val="21"/>
          <w:szCs w:val="21"/>
        </w:rPr>
        <w:t xml:space="preserve">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quando verificado desvio de finalidade na aplicação dos recursos, atrasos não justificados no cumprimento das etapas ou fases programadas, práticas atentatórias aos princípios fundamentais da administração pública nas contratações e demais atos praticados na execução da parceria ou o inadimplemento da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com relação a outras cláusulas básicas.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quando 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deixar de adotar as medidas saneadoras apontadas pela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Pr="00F863D6">
        <w:rPr>
          <w:rFonts w:ascii="Arial Narrow" w:hAnsi="Arial Narrow"/>
          <w:sz w:val="21"/>
          <w:szCs w:val="21"/>
        </w:rPr>
        <w:t xml:space="preserve">ou pelos órgãos de controle interno ou externo.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Não será exigida contrapartida da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>.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7B236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QUARTA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 DOTAÇÃO ORÇAMENTÁRIA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Os recursos repassados pela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Pr="00F863D6">
        <w:rPr>
          <w:rFonts w:ascii="Arial Narrow" w:hAnsi="Arial Narrow"/>
          <w:sz w:val="21"/>
          <w:szCs w:val="21"/>
        </w:rPr>
        <w:t>para a execução do objeto deste Termo serão empenhados na seguinte dotação orçamentária: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AF0520" w:rsidRDefault="003C6C17" w:rsidP="00460F71">
      <w:pPr>
        <w:pStyle w:val="SemEspaamento"/>
        <w:ind w:left="1134"/>
        <w:jc w:val="both"/>
        <w:rPr>
          <w:rFonts w:ascii="Arial Narrow" w:hAnsi="Arial Narrow"/>
          <w:i/>
          <w:sz w:val="20"/>
          <w:szCs w:val="21"/>
        </w:rPr>
      </w:pPr>
      <w:r w:rsidRPr="00AF0520">
        <w:rPr>
          <w:rFonts w:ascii="Arial Narrow" w:hAnsi="Arial Narrow"/>
          <w:i/>
          <w:sz w:val="20"/>
          <w:szCs w:val="21"/>
        </w:rPr>
        <w:t>Ação 07.002.27.812.0714.2730</w:t>
      </w:r>
      <w:r w:rsidR="00637469" w:rsidRPr="00AF0520">
        <w:rPr>
          <w:rFonts w:ascii="Arial Narrow" w:hAnsi="Arial Narrow"/>
          <w:i/>
          <w:sz w:val="20"/>
          <w:szCs w:val="21"/>
        </w:rPr>
        <w:t>-</w:t>
      </w:r>
      <w:r w:rsidRPr="00AF0520">
        <w:rPr>
          <w:rFonts w:ascii="Arial Narrow" w:hAnsi="Arial Narrow"/>
          <w:i/>
          <w:sz w:val="20"/>
          <w:szCs w:val="21"/>
        </w:rPr>
        <w:t>Manutenção da Diretoria de Esportes.</w:t>
      </w:r>
    </w:p>
    <w:p w:rsidR="00637469" w:rsidRPr="00AF0520" w:rsidRDefault="00637469" w:rsidP="00460F71">
      <w:pPr>
        <w:pStyle w:val="SemEspaamento"/>
        <w:ind w:left="1134"/>
        <w:jc w:val="both"/>
        <w:rPr>
          <w:rFonts w:ascii="Arial Narrow" w:hAnsi="Arial Narrow"/>
          <w:i/>
          <w:sz w:val="20"/>
          <w:szCs w:val="21"/>
        </w:rPr>
      </w:pPr>
      <w:r w:rsidRPr="00AF0520">
        <w:rPr>
          <w:rFonts w:ascii="Arial Narrow" w:hAnsi="Arial Narrow"/>
          <w:i/>
          <w:sz w:val="20"/>
          <w:szCs w:val="21"/>
        </w:rPr>
        <w:t xml:space="preserve">Modalidade de Aplicação: 3.3.50 - </w:t>
      </w:r>
      <w:r w:rsidR="00CF657B" w:rsidRPr="00AF0520">
        <w:rPr>
          <w:rFonts w:ascii="Arial Narrow" w:hAnsi="Arial Narrow"/>
          <w:i/>
          <w:sz w:val="20"/>
          <w:szCs w:val="21"/>
        </w:rPr>
        <w:t xml:space="preserve">Outras despesas correntes - </w:t>
      </w:r>
      <w:r w:rsidRPr="00AF0520">
        <w:rPr>
          <w:rFonts w:ascii="Arial Narrow" w:hAnsi="Arial Narrow"/>
          <w:i/>
          <w:sz w:val="20"/>
          <w:szCs w:val="21"/>
        </w:rPr>
        <w:t xml:space="preserve">Transferências a instituições privadas sem fins lucrativos </w:t>
      </w:r>
    </w:p>
    <w:p w:rsidR="00637469" w:rsidRPr="00AF0520" w:rsidRDefault="00CF657B" w:rsidP="00460F71">
      <w:pPr>
        <w:pStyle w:val="SemEspaamento"/>
        <w:ind w:left="1134"/>
        <w:jc w:val="both"/>
        <w:rPr>
          <w:rFonts w:ascii="Arial Narrow" w:hAnsi="Arial Narrow"/>
          <w:sz w:val="20"/>
          <w:szCs w:val="21"/>
        </w:rPr>
      </w:pPr>
      <w:r w:rsidRPr="00AF0520">
        <w:rPr>
          <w:rFonts w:ascii="Arial Narrow" w:hAnsi="Arial Narrow"/>
          <w:i/>
          <w:sz w:val="20"/>
          <w:szCs w:val="21"/>
        </w:rPr>
        <w:t xml:space="preserve">Fonte: </w:t>
      </w:r>
      <w:proofErr w:type="gramStart"/>
      <w:r w:rsidRPr="00AF0520">
        <w:rPr>
          <w:rFonts w:ascii="Arial Narrow" w:hAnsi="Arial Narrow"/>
          <w:i/>
          <w:sz w:val="20"/>
          <w:szCs w:val="21"/>
        </w:rPr>
        <w:t>000 -</w:t>
      </w:r>
      <w:r w:rsidR="00637469" w:rsidRPr="00AF0520">
        <w:rPr>
          <w:rFonts w:ascii="Arial Narrow" w:hAnsi="Arial Narrow"/>
          <w:i/>
          <w:sz w:val="20"/>
          <w:szCs w:val="21"/>
        </w:rPr>
        <w:t xml:space="preserve"> Recursos</w:t>
      </w:r>
      <w:proofErr w:type="gramEnd"/>
      <w:r w:rsidR="00637469" w:rsidRPr="00AF0520">
        <w:rPr>
          <w:rFonts w:ascii="Arial Narrow" w:hAnsi="Arial Narrow"/>
          <w:i/>
          <w:sz w:val="20"/>
          <w:szCs w:val="21"/>
        </w:rPr>
        <w:t xml:space="preserve"> Ordinários</w:t>
      </w:r>
    </w:p>
    <w:p w:rsidR="00CF657B" w:rsidRPr="00F863D6" w:rsidRDefault="00CF657B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Paragrafo Único. Os termos aditivos de valores deverão ser precedidos da indicação e créditos adicionais para sua cobertura por profissional contabilista.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QUINTA</w:t>
      </w:r>
    </w:p>
    <w:p w:rsidR="00CF657B" w:rsidRPr="00F863D6" w:rsidRDefault="00637469" w:rsidP="00CF657B">
      <w:pPr>
        <w:pStyle w:val="SemEspaamento"/>
        <w:jc w:val="center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DA MOVIMENTAÇÃO E </w:t>
      </w:r>
      <w:r w:rsidR="00CF657B" w:rsidRPr="00F863D6">
        <w:rPr>
          <w:rFonts w:ascii="Arial Narrow" w:hAnsi="Arial Narrow"/>
          <w:b/>
          <w:sz w:val="21"/>
          <w:szCs w:val="21"/>
        </w:rPr>
        <w:t>DA LIBERAÇÃO DOS RECURSOS</w:t>
      </w:r>
      <w:r w:rsidR="00CF657B" w:rsidRPr="00F863D6">
        <w:rPr>
          <w:rFonts w:ascii="Arial Narrow" w:hAnsi="Arial Narrow"/>
          <w:sz w:val="21"/>
          <w:szCs w:val="21"/>
        </w:rPr>
        <w:t xml:space="preserve"> </w:t>
      </w:r>
    </w:p>
    <w:p w:rsidR="00CF657B" w:rsidRPr="00F863D6" w:rsidRDefault="007B2366" w:rsidP="00CF657B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</w:t>
      </w:r>
      <w:r w:rsidR="00CF657B" w:rsidRPr="00F863D6">
        <w:rPr>
          <w:rFonts w:ascii="Arial Narrow" w:hAnsi="Arial Narrow"/>
          <w:sz w:val="21"/>
          <w:szCs w:val="21"/>
        </w:rPr>
        <w:t xml:space="preserve">Os recursos financeiros relativos ao repasse da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="00CF657B" w:rsidRPr="00F863D6">
        <w:rPr>
          <w:rFonts w:ascii="Arial Narrow" w:hAnsi="Arial Narrow"/>
          <w:sz w:val="21"/>
          <w:szCs w:val="21"/>
        </w:rPr>
        <w:t xml:space="preserve">serão depositados na conta corrente específica na instituição financeira determinada pela administração pública, como disposto no art. 51 da Lei n° 13.019/2014. </w:t>
      </w:r>
    </w:p>
    <w:p w:rsidR="00CF657B" w:rsidRPr="00F863D6" w:rsidRDefault="007B2366" w:rsidP="00CF657B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</w:t>
      </w:r>
      <w:r w:rsidR="00CF657B" w:rsidRPr="00F863D6">
        <w:rPr>
          <w:rFonts w:ascii="Arial Narrow" w:hAnsi="Arial Narrow"/>
          <w:sz w:val="21"/>
          <w:szCs w:val="21"/>
        </w:rPr>
        <w:t xml:space="preserve">Os recursos serão liberados de acordo com a disponibilidade orçamentária e financeira da </w:t>
      </w:r>
      <w:r w:rsidR="004A2152">
        <w:rPr>
          <w:rFonts w:ascii="Arial Narrow" w:hAnsi="Arial Narrow"/>
          <w:b/>
          <w:sz w:val="21"/>
          <w:szCs w:val="21"/>
        </w:rPr>
        <w:t>ADMINISTRAÇÃO PÚBLICA MUNICIPAL</w:t>
      </w:r>
      <w:r w:rsidR="00CF657B" w:rsidRPr="00F863D6">
        <w:rPr>
          <w:rFonts w:ascii="Arial Narrow" w:hAnsi="Arial Narrow"/>
          <w:sz w:val="21"/>
          <w:szCs w:val="21"/>
        </w:rPr>
        <w:t xml:space="preserve">, em conformidade com o número de parcelas e prazos estabelecidos no cronograma de desembolso constante no Plano de Trabalho aprovado, que guardará consonância com as metas, fases e etapas de </w:t>
      </w:r>
      <w:r w:rsidR="00CF657B" w:rsidRPr="00F863D6">
        <w:rPr>
          <w:rFonts w:ascii="Arial Narrow" w:hAnsi="Arial Narrow"/>
          <w:sz w:val="21"/>
          <w:szCs w:val="21"/>
        </w:rPr>
        <w:lastRenderedPageBreak/>
        <w:t xml:space="preserve">execução do objeto do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="00CF657B" w:rsidRPr="00F863D6">
        <w:rPr>
          <w:rFonts w:ascii="Arial Narrow" w:hAnsi="Arial Narrow"/>
          <w:sz w:val="21"/>
          <w:szCs w:val="21"/>
        </w:rPr>
        <w:t xml:space="preserve">, ficando </w:t>
      </w:r>
      <w:proofErr w:type="gramStart"/>
      <w:r w:rsidR="00CF657B" w:rsidRPr="00F863D6">
        <w:rPr>
          <w:rFonts w:ascii="Arial Narrow" w:hAnsi="Arial Narrow"/>
          <w:sz w:val="21"/>
          <w:szCs w:val="21"/>
        </w:rPr>
        <w:t>condicionada, ainda, ao cumprimento dos requisitos previstos no art. 48 da Lei</w:t>
      </w:r>
      <w:proofErr w:type="gramEnd"/>
      <w:r w:rsidR="00CF657B" w:rsidRPr="00F863D6">
        <w:rPr>
          <w:rFonts w:ascii="Arial Narrow" w:hAnsi="Arial Narrow"/>
          <w:sz w:val="21"/>
          <w:szCs w:val="21"/>
        </w:rPr>
        <w:t xml:space="preserve"> nº 13.019/2014.</w:t>
      </w:r>
    </w:p>
    <w:p w:rsidR="00CF657B" w:rsidRPr="00F863D6" w:rsidRDefault="007B2366" w:rsidP="00CF657B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</w:t>
      </w:r>
      <w:r w:rsidR="00CF657B" w:rsidRPr="00F863D6">
        <w:rPr>
          <w:rFonts w:ascii="Arial Narrow" w:hAnsi="Arial Narrow"/>
          <w:sz w:val="21"/>
          <w:szCs w:val="21"/>
        </w:rPr>
        <w:t xml:space="preserve">Os recursos transferidos serão utilizados exclusivamente para o pagamento das despesas previstas no Plano de Trabalho, vedada a sua aplicação em finalidade diversa. </w:t>
      </w:r>
    </w:p>
    <w:p w:rsidR="00CF657B" w:rsidRPr="00F863D6" w:rsidRDefault="007B2366" w:rsidP="00CF657B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IV -</w:t>
      </w:r>
      <w:r w:rsidR="00CF657B" w:rsidRPr="00F863D6">
        <w:rPr>
          <w:rFonts w:ascii="Arial Narrow" w:hAnsi="Arial Narrow"/>
          <w:sz w:val="21"/>
          <w:szCs w:val="21"/>
        </w:rPr>
        <w:t xml:space="preserve"> Os rendimentos auferidos das aplicações financeiras serão obrigatoriamente computados a crédito do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="00CF657B" w:rsidRPr="00F863D6">
        <w:rPr>
          <w:rFonts w:ascii="Arial Narrow" w:hAnsi="Arial Narrow"/>
          <w:sz w:val="21"/>
          <w:szCs w:val="21"/>
        </w:rPr>
        <w:t xml:space="preserve"> e aplicados, exclusivamente, no objeto de sua finalidade, mediante solicitação fundamentada da OSC e anuência prévia da Administração Pública Municipal, estando sujeitos às mesmas condições de prestação de contas exigidas para os recursos transferidos.</w:t>
      </w:r>
    </w:p>
    <w:p w:rsidR="00637469" w:rsidRPr="00F863D6" w:rsidRDefault="007B2366" w:rsidP="00CF657B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V - </w:t>
      </w:r>
      <w:r w:rsidR="00CF657B" w:rsidRPr="00F863D6">
        <w:rPr>
          <w:rFonts w:ascii="Arial Narrow" w:hAnsi="Arial Narrow"/>
          <w:sz w:val="21"/>
          <w:szCs w:val="21"/>
        </w:rPr>
        <w:t>Os recursos da parceria geridos pela OSC estão vinculados ao Plano de Trabalho e não caracterizam receita própria e nem pagamento por prestação de serviços e devem ser alocados nos seus registros contábeis conforme as Normas Brasileiras de Contabilidade.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SEXTA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 PRESTAÇÃO DE CONTAS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 -. A OSC prestará contas da boa e regular aplicação dos recursos recebidos, para a Administração Pública Municipal, de forma parcial, com base no disposto no Plano de Trabalho</w:t>
      </w:r>
      <w:r w:rsidRPr="009A0FCB">
        <w:rPr>
          <w:rFonts w:ascii="Arial Narrow" w:hAnsi="Arial Narrow"/>
          <w:b/>
          <w:sz w:val="21"/>
          <w:szCs w:val="21"/>
        </w:rPr>
        <w:t>, observando a regra de que não repassará a terceira parcela sem a devida prestação de contas da primeira e assim sucessivamente</w:t>
      </w:r>
      <w:r w:rsidRPr="00F863D6">
        <w:rPr>
          <w:rFonts w:ascii="Arial Narrow" w:hAnsi="Arial Narrow"/>
          <w:sz w:val="21"/>
          <w:szCs w:val="21"/>
        </w:rPr>
        <w:t>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As prestações de contas observarão as regras previstas nos </w:t>
      </w:r>
      <w:proofErr w:type="spellStart"/>
      <w:r w:rsidRPr="00F863D6">
        <w:rPr>
          <w:rFonts w:ascii="Arial Narrow" w:hAnsi="Arial Narrow"/>
          <w:sz w:val="21"/>
          <w:szCs w:val="21"/>
        </w:rPr>
        <w:t>arts</w:t>
      </w:r>
      <w:proofErr w:type="spellEnd"/>
      <w:r w:rsidRPr="00F863D6">
        <w:rPr>
          <w:rFonts w:ascii="Arial Narrow" w:hAnsi="Arial Narrow"/>
          <w:sz w:val="21"/>
          <w:szCs w:val="21"/>
        </w:rPr>
        <w:t xml:space="preserve">. 63 a 72 da Lei 13019/2014, além das cláusulas constantes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 e do Plano de Trabalho.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III - As prestações de contas apresentadas pela OSC deverão conter elementos que permitam a Administração Pública Municipal avaliar o andamento ou concluir que o seu objeto foi executado conforme pactuado, com a descrição pormenorizada das atividades realizadas e a comprovação do alcance das metas, sendo considerada a verdade real e os resultados alcançados. Os dados financeiros serão analisados com o intuito de estabelecer o nexo de causalidade entre a receita e a despesa realizada, a sua conformidade e o cumprimento das normas pertinentes.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IV - Para fins de prestação de contas a OSC deverá apresentar relatório (parcial ou final) de execução do objeto e relatório de execução financeira, que conterá no mínimo, as seguintes informações e documentos:</w:t>
      </w:r>
    </w:p>
    <w:p w:rsidR="00F863D6" w:rsidRPr="00F863D6" w:rsidRDefault="00460F71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1. </w:t>
      </w:r>
      <w:r w:rsidR="00F863D6" w:rsidRPr="00F863D6">
        <w:rPr>
          <w:rFonts w:ascii="Arial Narrow" w:hAnsi="Arial Narrow"/>
          <w:sz w:val="21"/>
          <w:szCs w:val="21"/>
        </w:rPr>
        <w:t xml:space="preserve">Relatório de </w:t>
      </w:r>
      <w:r w:rsidR="00F863D6" w:rsidRPr="003C6C17">
        <w:rPr>
          <w:rFonts w:ascii="Arial Narrow" w:hAnsi="Arial Narrow"/>
          <w:b/>
          <w:sz w:val="21"/>
          <w:szCs w:val="21"/>
        </w:rPr>
        <w:t>Execução do Objeto</w:t>
      </w:r>
      <w:r w:rsidR="00F863D6" w:rsidRPr="00F863D6">
        <w:rPr>
          <w:rFonts w:ascii="Arial Narrow" w:hAnsi="Arial Narrow"/>
          <w:sz w:val="21"/>
          <w:szCs w:val="21"/>
        </w:rPr>
        <w:t>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demonstração do alcance das metas referentes ao período de que trata a prestação de contas;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descrição das ações desenvolvidas para o cumprimento do objeto;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os documentos de comprovação do cumprimento do objeto, como listas de presença, fotos, vídeos, entre outros;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d) informações sobre os impactos econômicos ou sociais das ações desenvolvidas;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e) informações sobre o grau de satisfação do público-alvo, que poderá ser indicado por meio de pesquisa de satisfação, declaração de entidade pública ou privada local e declaração do conselho de política pública setorial, entre outros;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f) informações sobre a possibilidade de sustentabilidade das ações após a conclusão do objeto;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g) justificativa na hipótese de não cumprimento do alcance das metas, quando for o caso e as medidas para ajustamento.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2. Relatório de </w:t>
      </w:r>
      <w:r w:rsidRPr="003C6C17">
        <w:rPr>
          <w:rFonts w:ascii="Arial Narrow" w:hAnsi="Arial Narrow"/>
          <w:b/>
          <w:sz w:val="21"/>
          <w:szCs w:val="21"/>
        </w:rPr>
        <w:t>Execução Financeira</w:t>
      </w:r>
      <w:r w:rsidRPr="00F863D6">
        <w:rPr>
          <w:rFonts w:ascii="Arial Narrow" w:hAnsi="Arial Narrow"/>
          <w:sz w:val="21"/>
          <w:szCs w:val="21"/>
        </w:rPr>
        <w:t>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balancete contendo a relação das receitas e despesas realizadas, inclusive rendimentos financeiros, que possibilitem a comprovação da observância do plano de trabalho;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comprovante da devolução do saldo remanescente da conta bancária específica, quando houver;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extrato da conta bancária específica;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d) memória de cálculo do rateio das despesas, quando for o caso;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e) relação de bens adquiridos, produzidos ou transformados, quando houver;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f) cópia simples das notas e dos comprovantes fiscais ou recibos, inclusive holerites, com data do documento, valor, dados da OSC e do fornecedor e indicação do produto ou serviço;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g) comprovante bancário dos pagamentos realizados.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V - A análise do relatório de execução financeira será feita pela Administração Pública e contemplará: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1. </w:t>
      </w:r>
      <w:r w:rsidR="00460F71" w:rsidRPr="00F863D6">
        <w:rPr>
          <w:rFonts w:ascii="Arial Narrow" w:hAnsi="Arial Narrow"/>
          <w:sz w:val="21"/>
          <w:szCs w:val="21"/>
        </w:rPr>
        <w:t>O</w:t>
      </w:r>
      <w:r w:rsidRPr="00F863D6">
        <w:rPr>
          <w:rFonts w:ascii="Arial Narrow" w:hAnsi="Arial Narrow"/>
          <w:sz w:val="21"/>
          <w:szCs w:val="21"/>
        </w:rPr>
        <w:t xml:space="preserve"> exame da conformidade das despesas, realizado pela verificação das despesas previstas e das despesas efetivamente realizadas, por item ou agrupamento de itens, conforme aprovado no plano de trabalho;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2.  </w:t>
      </w:r>
      <w:r w:rsidR="00460F71" w:rsidRPr="00F863D6">
        <w:rPr>
          <w:rFonts w:ascii="Arial Narrow" w:hAnsi="Arial Narrow"/>
          <w:sz w:val="21"/>
          <w:szCs w:val="21"/>
        </w:rPr>
        <w:t>A</w:t>
      </w:r>
      <w:r w:rsidRPr="00F863D6">
        <w:rPr>
          <w:rFonts w:ascii="Arial Narrow" w:hAnsi="Arial Narrow"/>
          <w:sz w:val="21"/>
          <w:szCs w:val="21"/>
        </w:rPr>
        <w:t xml:space="preserve"> verificação da conciliação bancária, por meio da aferição da correlação entre as despesas constantes na relação de pagamentos e os débitos efetuados na conta corrente específica da parceria.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VI - A análise da prestação de contas final pela Administração Pública Municipal será formalizada por meio de parecer técnico conclusivo, que deverá verificar o cumprimento do objeto e o alcance das metas previstas no Plano de Trabalho e considerará: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lastRenderedPageBreak/>
        <w:t xml:space="preserve">I - os relatórios parciais e finais de execução do objeto;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os relatórios parciais e finais de execução financeira;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relatório de visita técnica in loco, quando houver;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IV - relatório técnico de monitoramento e avaliação.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VII - Além da análise do cumprimento do objeto e do alcance das metas previstas no plano de trabalho, o gestor da parceria, em seu parecer técnico, avaliará os efeitos da parceria.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VIII - A OSC deverá observar o prazo máximo de 90 (noventa) dias contados da data de pagamento da última parcela da parceria para entregar o relatório de execução do objeto e de execução financeira para a Administração Pública Municipal.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IX - O parecer técnico conclusivo da prestação de contas final embasará a decisão da autoridade competente e poderá concluir pela: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aprovação das contas, que ocorrerá quando constatado o cumprimento do objeto e das metas da parceria;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aprovação das contas com ressalvas, que ocorrerá quando, apesar de cumpridos o objeto e as metas da parceria, forem constatados impropriedade ou qualquer outra falta de natureza formal que não resulte em dano ao erário; </w:t>
      </w:r>
      <w:proofErr w:type="gramStart"/>
      <w:r w:rsidRPr="00F863D6">
        <w:rPr>
          <w:rFonts w:ascii="Arial Narrow" w:hAnsi="Arial Narrow"/>
          <w:sz w:val="21"/>
          <w:szCs w:val="21"/>
        </w:rPr>
        <w:t>ou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rejeição das contas, que ocorrerá nas seguintes hipóteses: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omissão no dever de prestar contas;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b) descumprimento injustificado do objeto e das metas estabelecidos no plano de trabalho;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dano ao erário decorrente de ato de gestão ilegítimo ou antieconômico; </w:t>
      </w:r>
      <w:proofErr w:type="gramStart"/>
      <w:r w:rsidRPr="00F863D6">
        <w:rPr>
          <w:rFonts w:ascii="Arial Narrow" w:hAnsi="Arial Narrow"/>
          <w:sz w:val="21"/>
          <w:szCs w:val="21"/>
        </w:rPr>
        <w:t>ou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d) desfalque ou desvio de dinheiro, bens ou valores públicos.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 A decisão sobre a prestação de contas final caberá à autoridade responsável por celebrar a parceria ou ao agente a ela diretamente subordinado, vedada </w:t>
      </w:r>
      <w:proofErr w:type="gramStart"/>
      <w:r w:rsidRPr="00F863D6">
        <w:rPr>
          <w:rFonts w:ascii="Arial Narrow" w:hAnsi="Arial Narrow"/>
          <w:sz w:val="21"/>
          <w:szCs w:val="21"/>
        </w:rPr>
        <w:t>a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subdelegação.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X - A OSC será notificada da decisão da autoridade competente e poderá: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apresentar recurso, no prazo de 30 (trinta) dias, à autoridade que a proferiu, a qual, se não reconsiderar a decisão no prazo de 30 (trinta) dias, encaminhará o recurso ao Prefeito Municipal, para decisão final no prazo de 30 (trinta) dias; </w:t>
      </w:r>
      <w:proofErr w:type="gramStart"/>
      <w:r w:rsidRPr="00F863D6">
        <w:rPr>
          <w:rFonts w:ascii="Arial Narrow" w:hAnsi="Arial Narrow"/>
          <w:sz w:val="21"/>
          <w:szCs w:val="21"/>
        </w:rPr>
        <w:t>ou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sanar a irregularidade ou cumprir a obrigação, no prazo de </w:t>
      </w:r>
      <w:proofErr w:type="gramStart"/>
      <w:r w:rsidRPr="00F863D6">
        <w:rPr>
          <w:rFonts w:ascii="Arial Narrow" w:hAnsi="Arial Narrow"/>
          <w:sz w:val="21"/>
          <w:szCs w:val="21"/>
        </w:rPr>
        <w:t>30 (trinta) dias, prorrogável</w:t>
      </w:r>
      <w:proofErr w:type="gramEnd"/>
      <w:r w:rsidRPr="00F863D6">
        <w:rPr>
          <w:rFonts w:ascii="Arial Narrow" w:hAnsi="Arial Narrow"/>
          <w:sz w:val="21"/>
          <w:szCs w:val="21"/>
        </w:rPr>
        <w:t>, no máximo, por igual período.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XI - Exaurida a fase recursal, a Administração Pública Municipal deverá: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no caso de aprovação com ressalvas da prestação de contas, notificar a OSC as causas das ressalvas;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no caso de rejeição da prestação de contas, notificar a OSC para que, no prazo de 30 (trinta) dias devolva os recursos financeiros relacionados com a irregularidade ou inexecução do objeto apurada ou com a prestação de contas não apresentada.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XII - O registro da aprovação com ressalvas da prestação de contas possui caráter preventivo e será considerado na eventual aplicação das sanções.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XIII - No caso de rejeição da prestação de contas, o não ressarcimento ao erário ensejará: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A instauração da Tomada de Contas Especial, nos termos da legislação vigente;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o registro da rejeição da prestação de contas e de suas causas, enquanto perdurarem os motivos determinantes da rejeição.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XIV - O prazo de análise da prestação de contas final pela Administração Pública Municipal será de 150 (cento e cinquenta) dias, contados da data de recebimento do relatório final de execução do objeto, podendo ser prorrogado, justificadamente, por igual período, desde que não exceda o limite de 300 (trezentos) dias.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XV - O transcurso do prazo definido na anterior, e de sua eventual prorrogação, sem que as contas tenham sido apreciadas: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não impede que a OSC participe de outros chamamentos públicos e celebre novas parcerias;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637469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não implica impossibilidade de sua apreciação em data posterior ou vedação a que se adotem medidas saneadoras, punitivas ou destinadas a ressarcir danos que possam ter sido causados aos cofres públicos.</w:t>
      </w:r>
    </w:p>
    <w:p w:rsidR="00F863D6" w:rsidRPr="00F863D6" w:rsidRDefault="00F863D6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SÉTIMA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DO MONITORAMENTO E DA AVALIAÇÃO</w:t>
      </w:r>
    </w:p>
    <w:p w:rsidR="00637469" w:rsidRPr="00F863D6" w:rsidRDefault="007B2366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 -</w:t>
      </w:r>
      <w:r w:rsidR="00637469" w:rsidRPr="00F863D6">
        <w:rPr>
          <w:rFonts w:ascii="Arial Narrow" w:hAnsi="Arial Narrow"/>
          <w:sz w:val="21"/>
          <w:szCs w:val="21"/>
        </w:rPr>
        <w:t xml:space="preserve"> 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="00637469" w:rsidRPr="00F863D6">
        <w:rPr>
          <w:rFonts w:ascii="Arial Narrow" w:hAnsi="Arial Narrow"/>
          <w:sz w:val="21"/>
          <w:szCs w:val="21"/>
        </w:rPr>
        <w:t>realizará o monitoramento e avaliação do cumprimento do objeto através de procedimentos de fiscalização da parceria celebrada por meio da designação de um GESTOR</w:t>
      </w:r>
      <w:r w:rsidR="00CF657B" w:rsidRPr="00F863D6">
        <w:rPr>
          <w:rFonts w:ascii="Arial Narrow" w:hAnsi="Arial Narrow"/>
          <w:sz w:val="21"/>
          <w:szCs w:val="21"/>
        </w:rPr>
        <w:t xml:space="preserve">; ÓRGÃO TÉCNICO </w:t>
      </w:r>
      <w:r w:rsidR="00637469" w:rsidRPr="00F863D6">
        <w:rPr>
          <w:rFonts w:ascii="Arial Narrow" w:hAnsi="Arial Narrow"/>
          <w:sz w:val="21"/>
          <w:szCs w:val="21"/>
        </w:rPr>
        <w:t xml:space="preserve">e da COMISSÃO DE MONITORAMENTO E AVALIAÇÃO.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lastRenderedPageBreak/>
        <w:t xml:space="preserve">II - A execução do objeto da parceria será acompanhada pela Administração Pública Municipal por meio de ações de monitoramento e avaliação, que terão caráter preventivo e saneador, objetivando a gestão adequada e regular da parceria, devendo ser registradas no sistema de prestação de contas.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</w:t>
      </w:r>
      <w:r w:rsidR="007B2366" w:rsidRPr="00F863D6">
        <w:rPr>
          <w:rFonts w:ascii="Arial Narrow" w:hAnsi="Arial Narrow"/>
          <w:sz w:val="21"/>
          <w:szCs w:val="21"/>
        </w:rPr>
        <w:t>I</w:t>
      </w:r>
      <w:r w:rsidRPr="00F863D6">
        <w:rPr>
          <w:rFonts w:ascii="Arial Narrow" w:hAnsi="Arial Narrow"/>
          <w:sz w:val="21"/>
          <w:szCs w:val="21"/>
        </w:rPr>
        <w:t xml:space="preserve"> - Ao </w:t>
      </w:r>
      <w:r w:rsidRPr="00F863D6">
        <w:rPr>
          <w:rFonts w:ascii="Arial Narrow" w:hAnsi="Arial Narrow"/>
          <w:i/>
          <w:sz w:val="21"/>
          <w:szCs w:val="21"/>
        </w:rPr>
        <w:t>gestor</w:t>
      </w:r>
      <w:r w:rsidRPr="00F863D6">
        <w:rPr>
          <w:rFonts w:ascii="Arial Narrow" w:hAnsi="Arial Narrow"/>
          <w:sz w:val="21"/>
          <w:szCs w:val="21"/>
        </w:rPr>
        <w:t xml:space="preserve"> caberá realizar o acompanhamento e fiscalização da execução das parcerias celebradas com as seguintes atribuições: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informar ao seu superior hierárquico a existência de fatos que comprometam ou possam comprometer as atividades ou metas da parceria e de indícios de irregularidades na gestão dos recursos, bem como providências adotadas ou que serão adotadas para sanar os problemas detectados.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Emitir pareceres técnicos, parcial de acompanhamento e conclusivo de análise da prestação de contas, com base no relatório técnico de monitoramento e avaliação.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c) Disponibilizar materiais e equipamento tecnológicos necessários às atividades de monitoramento e avaliação. </w:t>
      </w:r>
    </w:p>
    <w:p w:rsidR="007B2366" w:rsidRPr="00F863D6" w:rsidRDefault="00637469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</w:t>
      </w:r>
      <w:r w:rsidR="007B2366" w:rsidRPr="00F863D6">
        <w:rPr>
          <w:rFonts w:ascii="Arial Narrow" w:hAnsi="Arial Narrow"/>
          <w:sz w:val="21"/>
          <w:szCs w:val="21"/>
        </w:rPr>
        <w:t>As ações de monitoramento e avaliação contemplarão a análise das informações acerca do processamento da parceria constantes do sistema de prestação de contas, incluída a possibilidade de consulta às movimentações da conta bancária específica da parceria, além da verificação, análise e manifestação sobre eventuais denúncias existentes relacionadas à parceria.</w:t>
      </w:r>
    </w:p>
    <w:p w:rsidR="007B2366" w:rsidRPr="00F863D6" w:rsidRDefault="00310B4A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IV -</w:t>
      </w:r>
      <w:r w:rsidR="007B2366" w:rsidRPr="00F863D6">
        <w:rPr>
          <w:rFonts w:ascii="Arial Narrow" w:hAnsi="Arial Narrow"/>
          <w:sz w:val="21"/>
          <w:szCs w:val="21"/>
        </w:rPr>
        <w:t xml:space="preserve"> A Administração Pública Municipal designará servidor público que atuará como gestor da parceria, responsável pelo monitoramento sistemático da parceria, podendo designar também fiscais que farão o acompanhamento da execução no sistema de prestação de contas e com visitas </w:t>
      </w:r>
      <w:r w:rsidR="007B2366" w:rsidRPr="00F863D6">
        <w:rPr>
          <w:rFonts w:ascii="Arial Narrow" w:hAnsi="Arial Narrow"/>
          <w:i/>
          <w:sz w:val="21"/>
          <w:szCs w:val="21"/>
        </w:rPr>
        <w:t>in loco</w:t>
      </w:r>
      <w:r w:rsidR="007B2366" w:rsidRPr="00F863D6">
        <w:rPr>
          <w:rFonts w:ascii="Arial Narrow" w:hAnsi="Arial Narrow"/>
          <w:sz w:val="21"/>
          <w:szCs w:val="21"/>
        </w:rPr>
        <w:t>.</w:t>
      </w:r>
    </w:p>
    <w:p w:rsidR="007B2366" w:rsidRPr="00F863D6" w:rsidRDefault="00310B4A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V -</w:t>
      </w:r>
      <w:r w:rsidR="007B2366" w:rsidRPr="00F863D6">
        <w:rPr>
          <w:rFonts w:ascii="Arial Narrow" w:hAnsi="Arial Narrow"/>
          <w:sz w:val="21"/>
          <w:szCs w:val="21"/>
        </w:rPr>
        <w:t xml:space="preserve"> A Administração Pública Municipal realizará visita técnica </w:t>
      </w:r>
      <w:r w:rsidR="007B2366" w:rsidRPr="00F863D6">
        <w:rPr>
          <w:rFonts w:ascii="Arial Narrow" w:hAnsi="Arial Narrow"/>
          <w:i/>
          <w:sz w:val="21"/>
          <w:szCs w:val="21"/>
        </w:rPr>
        <w:t>in loco</w:t>
      </w:r>
      <w:r w:rsidR="007B2366" w:rsidRPr="00F863D6">
        <w:rPr>
          <w:rFonts w:ascii="Arial Narrow" w:hAnsi="Arial Narrow"/>
          <w:sz w:val="21"/>
          <w:szCs w:val="21"/>
        </w:rPr>
        <w:t xml:space="preserve"> para subsidiar o monitoramento da parceria, nas hipóteses em que esta for essencial para a verificação do cumprimento do objeto da parceria e do alcance das metas, hipótese em que a OSC deverá ser previamente notificada, no prazo mínimo de </w:t>
      </w:r>
      <w:proofErr w:type="gramStart"/>
      <w:r w:rsidR="007B2366" w:rsidRPr="00F863D6">
        <w:rPr>
          <w:rFonts w:ascii="Arial Narrow" w:hAnsi="Arial Narrow"/>
          <w:sz w:val="21"/>
          <w:szCs w:val="21"/>
        </w:rPr>
        <w:t>3</w:t>
      </w:r>
      <w:proofErr w:type="gramEnd"/>
      <w:r w:rsidR="007B2366" w:rsidRPr="00F863D6">
        <w:rPr>
          <w:rFonts w:ascii="Arial Narrow" w:hAnsi="Arial Narrow"/>
          <w:sz w:val="21"/>
          <w:szCs w:val="21"/>
        </w:rPr>
        <w:t xml:space="preserve"> (três) dias úteis anteriores à realização da visita. </w:t>
      </w:r>
    </w:p>
    <w:p w:rsidR="00310B4A" w:rsidRPr="00F863D6" w:rsidRDefault="00310B4A" w:rsidP="00310B4A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VI - </w:t>
      </w:r>
      <w:r w:rsidR="007B2366" w:rsidRPr="00F863D6">
        <w:rPr>
          <w:rFonts w:ascii="Arial Narrow" w:hAnsi="Arial Narrow"/>
          <w:sz w:val="21"/>
          <w:szCs w:val="21"/>
        </w:rPr>
        <w:t xml:space="preserve">Sempre que houver visita técnica </w:t>
      </w:r>
      <w:r w:rsidR="007B2366" w:rsidRPr="00F863D6">
        <w:rPr>
          <w:rFonts w:ascii="Arial Narrow" w:hAnsi="Arial Narrow"/>
          <w:i/>
          <w:sz w:val="21"/>
          <w:szCs w:val="21"/>
        </w:rPr>
        <w:t>in loco</w:t>
      </w:r>
      <w:r w:rsidR="007B2366" w:rsidRPr="00F863D6">
        <w:rPr>
          <w:rFonts w:ascii="Arial Narrow" w:hAnsi="Arial Narrow"/>
          <w:sz w:val="21"/>
          <w:szCs w:val="21"/>
        </w:rPr>
        <w:t xml:space="preserve">, o resultado será circunstanciado em relatório de visita técnica </w:t>
      </w:r>
      <w:r w:rsidR="007B2366" w:rsidRPr="00F863D6">
        <w:rPr>
          <w:rFonts w:ascii="Arial Narrow" w:hAnsi="Arial Narrow"/>
          <w:i/>
          <w:sz w:val="21"/>
          <w:szCs w:val="21"/>
        </w:rPr>
        <w:t>in loco</w:t>
      </w:r>
      <w:r w:rsidR="007B2366" w:rsidRPr="00F863D6">
        <w:rPr>
          <w:rFonts w:ascii="Arial Narrow" w:hAnsi="Arial Narrow"/>
          <w:sz w:val="21"/>
          <w:szCs w:val="21"/>
        </w:rPr>
        <w:t>, que será registrado no sistema de prestação de contas e enviado à OSC para conhecimento, esclarecimentos e providências e poderá ensejar a revisão do relatório, a critério do órgão ou da en</w:t>
      </w:r>
      <w:r w:rsidRPr="00F863D6">
        <w:rPr>
          <w:rFonts w:ascii="Arial Narrow" w:hAnsi="Arial Narrow"/>
          <w:sz w:val="21"/>
          <w:szCs w:val="21"/>
        </w:rPr>
        <w:t>tidade da Administração Pública.</w:t>
      </w:r>
    </w:p>
    <w:p w:rsidR="00637469" w:rsidRPr="00F863D6" w:rsidRDefault="00310B4A" w:rsidP="00310B4A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VII - </w:t>
      </w:r>
      <w:r w:rsidR="007B2366" w:rsidRPr="00F863D6">
        <w:rPr>
          <w:rFonts w:ascii="Arial Narrow" w:hAnsi="Arial Narrow"/>
          <w:sz w:val="21"/>
          <w:szCs w:val="21"/>
        </w:rPr>
        <w:t xml:space="preserve">A visita técnica </w:t>
      </w:r>
      <w:r w:rsidR="007B2366" w:rsidRPr="00F863D6">
        <w:rPr>
          <w:rFonts w:ascii="Arial Narrow" w:hAnsi="Arial Narrow"/>
          <w:i/>
          <w:sz w:val="21"/>
          <w:szCs w:val="21"/>
        </w:rPr>
        <w:t>in loco</w:t>
      </w:r>
      <w:r w:rsidR="007B2366" w:rsidRPr="00F863D6">
        <w:rPr>
          <w:rFonts w:ascii="Arial Narrow" w:hAnsi="Arial Narrow"/>
          <w:sz w:val="21"/>
          <w:szCs w:val="21"/>
        </w:rPr>
        <w:t xml:space="preserve"> não se confunde com as ações de fiscalização e auditoria realizadas pela Administração Pública Municipal, pelos órgãos de controle interno e externo.</w:t>
      </w:r>
    </w:p>
    <w:p w:rsidR="00310B4A" w:rsidRPr="00F863D6" w:rsidRDefault="00310B4A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OITAVA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DAS ALTERAÇÕES DO TERMO DE PARCERIA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Poderão ser realizadas alterações no Termo de Parceria nos seguintes casos: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 - ampliação de metas já existentes no Plano de Trabalho.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- remanejamento de recursos do Plano de Aplicação, obedecida à alínea “b” do inc. V da Cláusula Quinta.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utilização de rendimentos de aplicações financeiras ou de eventuais saldos remanescentes de recursos envolvidos na execução do objeto se não estiver previamente autorizada; e;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IV – vigência.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Parágrafo primeiro. As alterações deverão ser solicitadas mediante ofício protocolado ao Gestor da Parceria, devidamente justificado, e serão formalizadas mediante Termo Aditivo ao Termo de Parceria.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Parágrafo segundo. 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somente poderá executar as ações, conforme alterações solicitadas, após o recebimento do Termo Aditivo, o qual representa o acordo firmado entre as partes.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NONA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 VIGÊNCIA E DAS HIPÓTESES DE PRORROGAÇÃO</w:t>
      </w:r>
    </w:p>
    <w:p w:rsidR="007B2366" w:rsidRPr="00F863D6" w:rsidRDefault="00637469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O presente instr</w:t>
      </w:r>
      <w:r w:rsidR="00CF657B" w:rsidRPr="00F863D6">
        <w:rPr>
          <w:rFonts w:ascii="Arial Narrow" w:hAnsi="Arial Narrow"/>
          <w:sz w:val="21"/>
          <w:szCs w:val="21"/>
        </w:rPr>
        <w:t xml:space="preserve">umento entrará em vigor em </w:t>
      </w:r>
      <w:r w:rsidR="00F17AE0">
        <w:rPr>
          <w:rFonts w:ascii="Arial Narrow" w:hAnsi="Arial Narrow"/>
          <w:b/>
          <w:sz w:val="21"/>
          <w:szCs w:val="21"/>
        </w:rPr>
        <w:t>05 de abril</w:t>
      </w:r>
      <w:r w:rsidR="00CF657B" w:rsidRPr="00F863D6">
        <w:rPr>
          <w:rFonts w:ascii="Arial Narrow" w:hAnsi="Arial Narrow"/>
          <w:b/>
          <w:sz w:val="21"/>
          <w:szCs w:val="21"/>
        </w:rPr>
        <w:t xml:space="preserve"> de 2018</w:t>
      </w:r>
      <w:r w:rsidR="00CF657B" w:rsidRPr="00F863D6">
        <w:rPr>
          <w:rFonts w:ascii="Arial Narrow" w:hAnsi="Arial Narrow"/>
          <w:sz w:val="21"/>
          <w:szCs w:val="21"/>
        </w:rPr>
        <w:t xml:space="preserve"> e </w:t>
      </w:r>
      <w:r w:rsidRPr="00F863D6">
        <w:rPr>
          <w:rFonts w:ascii="Arial Narrow" w:hAnsi="Arial Narrow"/>
          <w:sz w:val="21"/>
          <w:szCs w:val="21"/>
        </w:rPr>
        <w:t xml:space="preserve">findará </w:t>
      </w:r>
      <w:r w:rsidR="00CF657B" w:rsidRPr="00F863D6">
        <w:rPr>
          <w:rFonts w:ascii="Arial Narrow" w:hAnsi="Arial Narrow"/>
          <w:sz w:val="21"/>
          <w:szCs w:val="21"/>
        </w:rPr>
        <w:t xml:space="preserve">em </w:t>
      </w:r>
      <w:r w:rsidR="00CF657B" w:rsidRPr="00F863D6">
        <w:rPr>
          <w:rFonts w:ascii="Arial Narrow" w:hAnsi="Arial Narrow"/>
          <w:b/>
          <w:sz w:val="21"/>
          <w:szCs w:val="21"/>
        </w:rPr>
        <w:t>31 de dezembro de 2018</w:t>
      </w:r>
      <w:r w:rsidR="00CF657B" w:rsidRPr="00F863D6">
        <w:rPr>
          <w:rFonts w:ascii="Arial Narrow" w:hAnsi="Arial Narrow"/>
          <w:sz w:val="21"/>
          <w:szCs w:val="21"/>
        </w:rPr>
        <w:t xml:space="preserve">, </w:t>
      </w:r>
      <w:r w:rsidR="007B2366" w:rsidRPr="00F863D6">
        <w:rPr>
          <w:rFonts w:ascii="Arial Narrow" w:hAnsi="Arial Narrow"/>
          <w:sz w:val="21"/>
          <w:szCs w:val="21"/>
        </w:rPr>
        <w:t>podendo ser prorrogado nos seguintes casos e condições previstos no art. 55 da Lei nº 13.019/2014: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mediante termo aditivo, por solicitação da OSC devidamente fundamentada, formulada, no mínimo, 30 (trinta) dias antes do seu término, desde que autorizada pela Administração Pública Municipal.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de ofício, por iniciativa da Administração Pública Municipal quando der causa a atraso na liberação de recursos financeiros, limitada ao exato período do atraso verificado.</w:t>
      </w:r>
    </w:p>
    <w:p w:rsidR="007B2366" w:rsidRPr="00F863D6" w:rsidRDefault="00EC12AF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III -</w:t>
      </w:r>
      <w:r w:rsidR="007B2366" w:rsidRPr="00F863D6">
        <w:rPr>
          <w:rFonts w:ascii="Arial Narrow" w:hAnsi="Arial Narrow"/>
          <w:sz w:val="21"/>
          <w:szCs w:val="21"/>
        </w:rPr>
        <w:t xml:space="preserve"> a prorrogação da vigência prevista no inciso I apenas será admitida, mantidas as demais cláusulas do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="007B2366" w:rsidRPr="00F863D6">
        <w:rPr>
          <w:rFonts w:ascii="Arial Narrow" w:hAnsi="Arial Narrow"/>
          <w:sz w:val="21"/>
          <w:szCs w:val="21"/>
        </w:rPr>
        <w:t xml:space="preserve">, desde que seja devidamente formalizada, justificada e previamente autorizada pela Administração Pública Municipal, considerando as seguintes situações: </w:t>
      </w:r>
    </w:p>
    <w:p w:rsidR="007B2366" w:rsidRPr="00F863D6" w:rsidRDefault="00EC12AF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lastRenderedPageBreak/>
        <w:t xml:space="preserve">a) </w:t>
      </w:r>
      <w:proofErr w:type="gramStart"/>
      <w:r w:rsidRPr="00F863D6">
        <w:rPr>
          <w:rFonts w:ascii="Arial Narrow" w:hAnsi="Arial Narrow"/>
          <w:sz w:val="21"/>
          <w:szCs w:val="21"/>
        </w:rPr>
        <w:t>a</w:t>
      </w:r>
      <w:r w:rsidR="007B2366" w:rsidRPr="00F863D6">
        <w:rPr>
          <w:rFonts w:ascii="Arial Narrow" w:hAnsi="Arial Narrow"/>
          <w:sz w:val="21"/>
          <w:szCs w:val="21"/>
        </w:rPr>
        <w:t>lteraçã</w:t>
      </w:r>
      <w:r w:rsidRPr="00F863D6">
        <w:rPr>
          <w:rFonts w:ascii="Arial Narrow" w:hAnsi="Arial Narrow"/>
          <w:sz w:val="21"/>
          <w:szCs w:val="21"/>
        </w:rPr>
        <w:t>o do Plano de Trabalho sugeridas</w:t>
      </w:r>
      <w:proofErr w:type="gramEnd"/>
      <w:r w:rsidR="007B2366" w:rsidRPr="00F863D6">
        <w:rPr>
          <w:rFonts w:ascii="Arial Narrow" w:hAnsi="Arial Narrow"/>
          <w:sz w:val="21"/>
          <w:szCs w:val="21"/>
        </w:rPr>
        <w:t xml:space="preserve"> pela Administração Pública Municipal para aperfeiçoamento dos processos e dos resultados previstos; 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superveniência de fato excepcional ou imprevisível, estranho à vontade das partes, que altere fundamentalmente as condições de execução do Plano de Trabalho;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637469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c) ampliação de metas e etapas com aumento das quantidades inicialmente previstas no Plano de Trabalho.</w:t>
      </w:r>
    </w:p>
    <w:p w:rsidR="007B2366" w:rsidRPr="00F863D6" w:rsidRDefault="007B2366" w:rsidP="007B2366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DÉCIMA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 RESCISÃO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O presente instrumento poderá ser extinto a qualquer tempo na ocorrência dos seguintes motivos: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a) por denúncia fundamentada de qualquer das partes desde que seja intimado o outro partícipe com antecedência mínima de 10 (dez) dias.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b) por rescisão, de comum acordo dos partícipes, quando houver a perda do interesse público na execução do objeto.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c) por rescisão unilateral, nos casos</w:t>
      </w:r>
      <w:r w:rsidR="00CF657B" w:rsidRPr="00F863D6">
        <w:rPr>
          <w:rFonts w:ascii="Arial Narrow" w:hAnsi="Arial Narrow"/>
          <w:sz w:val="21"/>
          <w:szCs w:val="21"/>
        </w:rPr>
        <w:t xml:space="preserve"> de inadimplência tanto da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Pr="00F863D6">
        <w:rPr>
          <w:rFonts w:ascii="Arial Narrow" w:hAnsi="Arial Narrow"/>
          <w:sz w:val="21"/>
          <w:szCs w:val="21"/>
        </w:rPr>
        <w:t xml:space="preserve">quanto do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ou da ocorrência das seguintes situações: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1 - falta de apresentação pela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das prestações de contas nos prazos estabelecidos;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2 - utilização, pela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, dos recursos em desacordo com o plano de trabalho;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3 - por infração de quaisquer de uma das Cláusulas ou condições estabelecidas neste Instrumento.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 – Em qualquer das hipóteses descritas nas alíneas anteriores, deverá ser apresentada a prestação de contas dos recursos até então </w:t>
      </w:r>
      <w:r w:rsidR="00CF657B" w:rsidRPr="00F863D6">
        <w:rPr>
          <w:rFonts w:ascii="Arial Narrow" w:hAnsi="Arial Narrow"/>
          <w:sz w:val="21"/>
          <w:szCs w:val="21"/>
        </w:rPr>
        <w:t>repassados pela</w:t>
      </w:r>
      <w:r w:rsidRPr="00F863D6">
        <w:rPr>
          <w:rFonts w:ascii="Arial Narrow" w:hAnsi="Arial Narrow"/>
          <w:sz w:val="21"/>
          <w:szCs w:val="21"/>
        </w:rPr>
        <w:t xml:space="preserve"> </w:t>
      </w:r>
      <w:r w:rsidR="004A2152">
        <w:rPr>
          <w:rFonts w:ascii="Arial Narrow" w:hAnsi="Arial Narrow"/>
          <w:b/>
          <w:sz w:val="21"/>
          <w:szCs w:val="21"/>
        </w:rPr>
        <w:t xml:space="preserve">ADMINISTRAÇÃO PÚBLICA MUNICIPAL </w:t>
      </w:r>
      <w:r w:rsidRPr="00F863D6">
        <w:rPr>
          <w:rFonts w:ascii="Arial Narrow" w:hAnsi="Arial Narrow"/>
          <w:sz w:val="21"/>
          <w:szCs w:val="21"/>
        </w:rPr>
        <w:t xml:space="preserve">à </w:t>
      </w:r>
      <w:r w:rsidR="004A2152">
        <w:rPr>
          <w:rFonts w:ascii="Arial Narrow" w:hAnsi="Arial Narrow"/>
          <w:b/>
          <w:sz w:val="21"/>
          <w:szCs w:val="21"/>
        </w:rPr>
        <w:t>OSC</w:t>
      </w:r>
      <w:r w:rsidRPr="00F863D6">
        <w:rPr>
          <w:rFonts w:ascii="Arial Narrow" w:hAnsi="Arial Narrow"/>
          <w:sz w:val="21"/>
          <w:szCs w:val="21"/>
        </w:rPr>
        <w:t xml:space="preserve"> no prazo máximo de até 30 (trinta) dias, contado do encerramento da vigência desse ajuste. 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Por ocasião da rescisão da parceria, os saldos financeiros remanescentes, inclusive os provenientes das receitas obtidas das aplicações financeiras realizadas, serão devolvidos à entidade ou órgão repassador dos recursos, no prazo improrrogável de 30 (trinta) dias da data da rescisão, </w:t>
      </w:r>
      <w:proofErr w:type="gramStart"/>
      <w:r w:rsidRPr="00F863D6">
        <w:rPr>
          <w:rFonts w:ascii="Arial Narrow" w:hAnsi="Arial Narrow"/>
          <w:sz w:val="21"/>
          <w:szCs w:val="21"/>
        </w:rPr>
        <w:t>sob pena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de imediata instauração de tomada de contas especial do responsável, providenciada pela autoridade competente do órgão ou entidade titular dos recursos.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DÉCIMA PRIMEIRA</w:t>
      </w:r>
    </w:p>
    <w:p w:rsidR="00F863D6" w:rsidRPr="00F863D6" w:rsidRDefault="00F863D6" w:rsidP="00F863D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DA RESTITUIÇÃO DOS RECURSOS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Por ocasião da conclusão, denúncia, rescisão ou extinção deste Termo de </w:t>
      </w:r>
      <w:r w:rsidR="00000AC4">
        <w:rPr>
          <w:rFonts w:ascii="Arial Narrow" w:hAnsi="Arial Narrow"/>
          <w:sz w:val="21"/>
          <w:szCs w:val="21"/>
        </w:rPr>
        <w:t>Fomento</w:t>
      </w:r>
      <w:r w:rsidRPr="00F863D6">
        <w:rPr>
          <w:rFonts w:ascii="Arial Narrow" w:hAnsi="Arial Narrow"/>
          <w:sz w:val="21"/>
          <w:szCs w:val="21"/>
        </w:rPr>
        <w:t xml:space="preserve">, a OSC deverá restituir, no prazo improrrogável de 30 (trinta) dias, os saldos financeiros remanescentes.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II - Os recursos a serem restituídos na forma do caput incluem: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1.  </w:t>
      </w:r>
      <w:proofErr w:type="gramStart"/>
      <w:r w:rsidRPr="00F863D6">
        <w:rPr>
          <w:rFonts w:ascii="Arial Narrow" w:hAnsi="Arial Narrow"/>
          <w:sz w:val="21"/>
          <w:szCs w:val="21"/>
        </w:rPr>
        <w:t>o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eventual saldo remanescente dos recursos financeiros depositados na conta bancária específica, inclusive o proveniente das receitas obtidas nas aplicações financeiras realizadas e não utilizadas no objeto pactuado;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2.  </w:t>
      </w:r>
      <w:proofErr w:type="gramStart"/>
      <w:r w:rsidRPr="00F863D6">
        <w:rPr>
          <w:rFonts w:ascii="Arial Narrow" w:hAnsi="Arial Narrow"/>
          <w:sz w:val="21"/>
          <w:szCs w:val="21"/>
        </w:rPr>
        <w:t>os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valores relacionados à irregularidade ou inexecução apurada ou à prestação de contas não apresentada;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3. </w:t>
      </w:r>
      <w:proofErr w:type="gramStart"/>
      <w:r w:rsidRPr="00F863D6">
        <w:rPr>
          <w:rFonts w:ascii="Arial Narrow" w:hAnsi="Arial Narrow"/>
          <w:sz w:val="21"/>
          <w:szCs w:val="21"/>
        </w:rPr>
        <w:t>o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valor pelo qual os bens remanescentes foram adquiridos, na hipótese de dissolução da OSC ou quando a motivação da rejeição da prestação de contas estiver relacionada ao uso ou aquisição desses bens.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III - A inobservância ao disposto nesta Cláusula enseja a instauração de Tomada de Contas Especial, conforme art. 52 da Lei nº 13.019/2014.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IV - Os débitos a serem restituídos pela OSC serão apurados mediante atualização monetária, acrescido de juros equivalentes à taxa Selic.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F863D6" w:rsidRPr="00F863D6" w:rsidRDefault="00F863D6" w:rsidP="00F863D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DÉCIMA SEGUNDA</w:t>
      </w:r>
    </w:p>
    <w:p w:rsidR="00F863D6" w:rsidRPr="00F863D6" w:rsidRDefault="00F863D6" w:rsidP="00F863D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DAS SANÇÕES ADMINISTRATIVAS E DA TOMADA DE CONTAS ESPECIAL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I - Nos termos do art. 73 da Lei nº 13.019, de 2014, a administração pública poderá, garantida a prévia defesa, aplicar à OSC as seguintes sanções: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1.  </w:t>
      </w:r>
      <w:r w:rsidR="00DB20FB" w:rsidRPr="00F863D6">
        <w:rPr>
          <w:rFonts w:ascii="Arial Narrow" w:hAnsi="Arial Narrow"/>
          <w:sz w:val="21"/>
          <w:szCs w:val="21"/>
        </w:rPr>
        <w:t>Advertência</w:t>
      </w:r>
      <w:r w:rsidRPr="00F863D6">
        <w:rPr>
          <w:rFonts w:ascii="Arial Narrow" w:hAnsi="Arial Narrow"/>
          <w:sz w:val="21"/>
          <w:szCs w:val="21"/>
        </w:rPr>
        <w:t xml:space="preserve">;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2. </w:t>
      </w:r>
      <w:r w:rsidR="00DB20FB" w:rsidRPr="00F863D6">
        <w:rPr>
          <w:rFonts w:ascii="Arial Narrow" w:hAnsi="Arial Narrow"/>
          <w:sz w:val="21"/>
          <w:szCs w:val="21"/>
        </w:rPr>
        <w:t>Suspensão</w:t>
      </w:r>
      <w:r w:rsidRPr="00F863D6">
        <w:rPr>
          <w:rFonts w:ascii="Arial Narrow" w:hAnsi="Arial Narrow"/>
          <w:sz w:val="21"/>
          <w:szCs w:val="21"/>
        </w:rPr>
        <w:t xml:space="preserve"> temporária da participação em chamamento público e impedimento de celebrar parceria ou contrato com órgãos e entidades da esfera de governo da administração pública sancionadora, por prazo não superior a </w:t>
      </w:r>
      <w:proofErr w:type="gramStart"/>
      <w:r w:rsidRPr="00F863D6">
        <w:rPr>
          <w:rFonts w:ascii="Arial Narrow" w:hAnsi="Arial Narrow"/>
          <w:sz w:val="21"/>
          <w:szCs w:val="21"/>
        </w:rPr>
        <w:t>2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(dois) anos; e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3. </w:t>
      </w:r>
      <w:r w:rsidR="00DB20FB" w:rsidRPr="00F863D6">
        <w:rPr>
          <w:rFonts w:ascii="Arial Narrow" w:hAnsi="Arial Narrow"/>
          <w:sz w:val="21"/>
          <w:szCs w:val="21"/>
        </w:rPr>
        <w:t>Declaração</w:t>
      </w:r>
      <w:r w:rsidRPr="00F863D6">
        <w:rPr>
          <w:rFonts w:ascii="Arial Narrow" w:hAnsi="Arial Narrow"/>
          <w:sz w:val="21"/>
          <w:szCs w:val="21"/>
        </w:rPr>
        <w:t xml:space="preserve"> de inidoneidade para participar de chamamento público ou celebrar parceria ou contrato com órgãos e entidades de todas as esferas de governo, enquanto perdurarem os motivos determinantes da punição ou até que seja promovida a reabilitação perante a Administração Pública Municipal, que será concedida sempre que a OSC ressarcir a administração pública pelos prejuízos resultantes e </w:t>
      </w:r>
      <w:proofErr w:type="gramStart"/>
      <w:r w:rsidRPr="00F863D6">
        <w:rPr>
          <w:rFonts w:ascii="Arial Narrow" w:hAnsi="Arial Narrow"/>
          <w:sz w:val="21"/>
          <w:szCs w:val="21"/>
        </w:rPr>
        <w:t>após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decorrido o prazo da sanção aplicada com base no inciso 2.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lastRenderedPageBreak/>
        <w:t xml:space="preserve">II - A Administração Pública Municipal determinará a instauração da Tomada de Contas Especial nas seguintes hipóteses: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1.  </w:t>
      </w:r>
      <w:r w:rsidR="004A2152" w:rsidRPr="00F863D6">
        <w:rPr>
          <w:rFonts w:ascii="Arial Narrow" w:hAnsi="Arial Narrow"/>
          <w:sz w:val="21"/>
          <w:szCs w:val="21"/>
        </w:rPr>
        <w:t>Caso</w:t>
      </w:r>
      <w:r w:rsidRPr="00F863D6">
        <w:rPr>
          <w:rFonts w:ascii="Arial Narrow" w:hAnsi="Arial Narrow"/>
          <w:sz w:val="21"/>
          <w:szCs w:val="21"/>
        </w:rPr>
        <w:t xml:space="preserve"> conclua pela rescisão unilateral da parceria e a OSC não devolva os valores repassados relacionados à irregularidade ou inexecução apurada ou à prestação de contas não apresentada no prazo determinado; </w:t>
      </w:r>
      <w:proofErr w:type="gramStart"/>
      <w:r w:rsidRPr="00F863D6">
        <w:rPr>
          <w:rFonts w:ascii="Arial Narrow" w:hAnsi="Arial Narrow"/>
          <w:sz w:val="21"/>
          <w:szCs w:val="21"/>
        </w:rPr>
        <w:t>e</w:t>
      </w:r>
      <w:proofErr w:type="gramEnd"/>
      <w:r w:rsidRPr="00F863D6">
        <w:rPr>
          <w:rFonts w:ascii="Arial Narrow" w:hAnsi="Arial Narrow"/>
          <w:sz w:val="21"/>
          <w:szCs w:val="21"/>
        </w:rPr>
        <w:t xml:space="preserve"> 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 xml:space="preserve">2. </w:t>
      </w:r>
      <w:r w:rsidR="004A2152" w:rsidRPr="00F863D6">
        <w:rPr>
          <w:rFonts w:ascii="Arial Narrow" w:hAnsi="Arial Narrow"/>
          <w:sz w:val="21"/>
          <w:szCs w:val="21"/>
        </w:rPr>
        <w:t>No</w:t>
      </w:r>
      <w:r w:rsidRPr="00F863D6">
        <w:rPr>
          <w:rFonts w:ascii="Arial Narrow" w:hAnsi="Arial Narrow"/>
          <w:sz w:val="21"/>
          <w:szCs w:val="21"/>
        </w:rPr>
        <w:t xml:space="preserve"> caso de rejeição da prestação de contas, caso a OSC não devolva os recursos financeiros relacionados com a irregularidade ou inexecução do objeto apurada ou com a prestação de contas não apresentada.</w:t>
      </w:r>
    </w:p>
    <w:p w:rsidR="00F863D6" w:rsidRPr="00F863D6" w:rsidRDefault="00F863D6" w:rsidP="00F863D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:rsidR="00F863D6" w:rsidRPr="00F863D6" w:rsidRDefault="00F863D6" w:rsidP="00F863D6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CLÁUSULA DÉCIMA SEGUNDA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DO FORO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É competente o foro da Comarca de Joaçaba/SC para dirimir quaisquer dúvidas, porventura, oriundas deste Termo de Parceria, que porventura não venham a ser resolvidas administrativamente, renunciando a qualquer outro por mais privilegiado que seja.</w:t>
      </w: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E, por estarem assim de pleno acordo, assinam este instrumento em 02 (dois) vias de igual teor, na presença das testemunhas abaixo, de tudo inteiradas.</w:t>
      </w: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F863D6" w:rsidRPr="00F863D6" w:rsidRDefault="00F863D6" w:rsidP="00F863D6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jc w:val="center"/>
        <w:rPr>
          <w:rFonts w:ascii="Arial Narrow" w:hAnsi="Arial Narrow" w:cs="Arial"/>
          <w:sz w:val="21"/>
          <w:szCs w:val="21"/>
        </w:rPr>
      </w:pPr>
      <w:r w:rsidRPr="00F863D6">
        <w:rPr>
          <w:rFonts w:ascii="Arial Narrow" w:hAnsi="Arial Narrow" w:cs="Arial"/>
          <w:sz w:val="21"/>
          <w:szCs w:val="21"/>
        </w:rPr>
        <w:t xml:space="preserve">Luzerna/SC, </w:t>
      </w:r>
      <w:r w:rsidR="00F17AE0">
        <w:rPr>
          <w:rFonts w:ascii="Arial Narrow" w:hAnsi="Arial Narrow" w:cs="Arial"/>
          <w:sz w:val="21"/>
          <w:szCs w:val="21"/>
        </w:rPr>
        <w:t>05 de abril de 2018</w:t>
      </w:r>
      <w:r w:rsidRPr="00F863D6">
        <w:rPr>
          <w:rFonts w:ascii="Arial Narrow" w:hAnsi="Arial Narrow" w:cs="Arial"/>
          <w:sz w:val="21"/>
          <w:szCs w:val="21"/>
        </w:rPr>
        <w:t>.</w:t>
      </w: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>MOISÉS DIERSMANN</w:t>
      </w:r>
    </w:p>
    <w:p w:rsidR="00637469" w:rsidRDefault="00637469" w:rsidP="00637469">
      <w:pPr>
        <w:pStyle w:val="SemEspaamento"/>
        <w:jc w:val="center"/>
        <w:rPr>
          <w:rFonts w:ascii="Arial Narrow" w:hAnsi="Arial Narrow"/>
          <w:sz w:val="21"/>
          <w:szCs w:val="21"/>
        </w:rPr>
      </w:pPr>
      <w:r w:rsidRPr="00F863D6">
        <w:rPr>
          <w:rFonts w:ascii="Arial Narrow" w:hAnsi="Arial Narrow"/>
          <w:sz w:val="21"/>
          <w:szCs w:val="21"/>
        </w:rPr>
        <w:t>Prefeito</w:t>
      </w:r>
    </w:p>
    <w:p w:rsidR="00460F71" w:rsidRPr="00F863D6" w:rsidRDefault="00460F71" w:rsidP="00637469">
      <w:pPr>
        <w:pStyle w:val="SemEspaamen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Município de Luzerna/SC</w:t>
      </w:r>
    </w:p>
    <w:p w:rsidR="00637469" w:rsidRPr="00F863D6" w:rsidRDefault="00637469" w:rsidP="00637469">
      <w:pPr>
        <w:pStyle w:val="SemEspaamento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pStyle w:val="SemEspaamento"/>
        <w:rPr>
          <w:rFonts w:ascii="Arial Narrow" w:hAnsi="Arial Narrow"/>
          <w:sz w:val="21"/>
          <w:szCs w:val="21"/>
        </w:rPr>
      </w:pPr>
    </w:p>
    <w:p w:rsidR="00637469" w:rsidRPr="008B3F70" w:rsidRDefault="00AF0520" w:rsidP="00AF0520">
      <w:pPr>
        <w:pStyle w:val="SemEspaamento"/>
        <w:jc w:val="center"/>
        <w:rPr>
          <w:rFonts w:ascii="Arial Narrow" w:hAnsi="Arial Narrow"/>
          <w:b/>
          <w:bCs/>
          <w:sz w:val="21"/>
          <w:szCs w:val="21"/>
          <w:highlight w:val="yellow"/>
        </w:rPr>
      </w:pPr>
      <w:r w:rsidRPr="008B3F70">
        <w:rPr>
          <w:rFonts w:ascii="Arial Narrow" w:hAnsi="Arial Narrow"/>
          <w:b/>
          <w:sz w:val="21"/>
          <w:szCs w:val="21"/>
        </w:rPr>
        <w:t>MAICON EDUARDO BORTULUZ</w:t>
      </w:r>
    </w:p>
    <w:p w:rsidR="00637469" w:rsidRPr="00F863D6" w:rsidRDefault="00637469" w:rsidP="00AF0520">
      <w:pPr>
        <w:pStyle w:val="SemEspaamento"/>
        <w:jc w:val="center"/>
        <w:rPr>
          <w:rFonts w:ascii="Arial Narrow" w:hAnsi="Arial Narrow"/>
          <w:bCs/>
          <w:sz w:val="21"/>
          <w:szCs w:val="21"/>
        </w:rPr>
      </w:pPr>
      <w:r w:rsidRPr="00F863D6">
        <w:rPr>
          <w:rFonts w:ascii="Arial Narrow" w:hAnsi="Arial Narrow"/>
          <w:bCs/>
          <w:sz w:val="21"/>
          <w:szCs w:val="21"/>
        </w:rPr>
        <w:t>Presidente da Entidade</w:t>
      </w:r>
    </w:p>
    <w:p w:rsidR="00637469" w:rsidRPr="00F863D6" w:rsidRDefault="00AF0520" w:rsidP="00AF0520">
      <w:pPr>
        <w:pStyle w:val="SemEspaamento"/>
        <w:jc w:val="center"/>
        <w:rPr>
          <w:rFonts w:ascii="Arial Narrow" w:hAnsi="Arial Narrow" w:cs="Arial"/>
          <w:color w:val="000000"/>
          <w:sz w:val="21"/>
          <w:szCs w:val="21"/>
        </w:rPr>
      </w:pPr>
      <w:r w:rsidRPr="00AF0520">
        <w:rPr>
          <w:rFonts w:ascii="Arial Narrow" w:hAnsi="Arial Narrow"/>
          <w:bCs/>
          <w:sz w:val="21"/>
          <w:szCs w:val="21"/>
        </w:rPr>
        <w:t xml:space="preserve">AJEC – </w:t>
      </w:r>
      <w:r w:rsidR="008B3F70">
        <w:rPr>
          <w:rFonts w:ascii="Arial Narrow" w:hAnsi="Arial Narrow"/>
          <w:bCs/>
          <w:sz w:val="21"/>
          <w:szCs w:val="21"/>
        </w:rPr>
        <w:t>Associação Joaçaba d</w:t>
      </w:r>
      <w:r w:rsidR="008B3F70" w:rsidRPr="00AF0520">
        <w:rPr>
          <w:rFonts w:ascii="Arial Narrow" w:hAnsi="Arial Narrow"/>
          <w:bCs/>
          <w:sz w:val="21"/>
          <w:szCs w:val="21"/>
        </w:rPr>
        <w:t xml:space="preserve">e Esporte </w:t>
      </w:r>
      <w:r w:rsidR="008B3F70">
        <w:rPr>
          <w:rFonts w:ascii="Arial Narrow" w:hAnsi="Arial Narrow"/>
          <w:bCs/>
          <w:sz w:val="21"/>
          <w:szCs w:val="21"/>
        </w:rPr>
        <w:t>e</w:t>
      </w:r>
      <w:r w:rsidR="008B3F70" w:rsidRPr="00AF0520">
        <w:rPr>
          <w:rFonts w:ascii="Arial Narrow" w:hAnsi="Arial Narrow"/>
          <w:bCs/>
          <w:sz w:val="21"/>
          <w:szCs w:val="21"/>
        </w:rPr>
        <w:t xml:space="preserve"> Cultura</w:t>
      </w:r>
    </w:p>
    <w:p w:rsidR="00AF0520" w:rsidRDefault="00AF0520" w:rsidP="00637469">
      <w:pPr>
        <w:rPr>
          <w:rFonts w:ascii="Arial Narrow" w:hAnsi="Arial Narrow"/>
          <w:b/>
          <w:color w:val="000000"/>
          <w:sz w:val="21"/>
          <w:szCs w:val="21"/>
        </w:rPr>
      </w:pPr>
    </w:p>
    <w:p w:rsidR="00DB20FB" w:rsidRDefault="00DB20FB" w:rsidP="00637469">
      <w:pPr>
        <w:rPr>
          <w:rFonts w:ascii="Arial Narrow" w:hAnsi="Arial Narrow"/>
          <w:b/>
          <w:color w:val="000000"/>
          <w:sz w:val="21"/>
          <w:szCs w:val="21"/>
        </w:rPr>
      </w:pPr>
    </w:p>
    <w:p w:rsidR="00637469" w:rsidRPr="00F863D6" w:rsidRDefault="00637469" w:rsidP="00637469">
      <w:pPr>
        <w:rPr>
          <w:rFonts w:ascii="Arial Narrow" w:hAnsi="Arial Narrow"/>
          <w:b/>
          <w:color w:val="000000"/>
          <w:sz w:val="21"/>
          <w:szCs w:val="21"/>
        </w:rPr>
      </w:pPr>
      <w:r w:rsidRPr="00F863D6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637469" w:rsidRPr="00F863D6" w:rsidRDefault="00637469" w:rsidP="00637469">
      <w:pPr>
        <w:pStyle w:val="SemEspaamento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/>
          <w:b/>
          <w:sz w:val="21"/>
          <w:szCs w:val="21"/>
        </w:rPr>
        <w:t xml:space="preserve">1. </w:t>
      </w:r>
      <w:r w:rsidRPr="00F863D6">
        <w:rPr>
          <w:rFonts w:ascii="Arial Narrow" w:hAnsi="Arial Narrow"/>
          <w:sz w:val="21"/>
          <w:szCs w:val="21"/>
        </w:rPr>
        <w:t>--------------------------------------------</w:t>
      </w:r>
      <w:r w:rsidRPr="00F863D6">
        <w:rPr>
          <w:rFonts w:ascii="Arial Narrow" w:hAnsi="Arial Narrow"/>
          <w:sz w:val="21"/>
          <w:szCs w:val="21"/>
        </w:rPr>
        <w:tab/>
      </w:r>
      <w:r w:rsidRPr="00F863D6">
        <w:rPr>
          <w:rFonts w:ascii="Arial Narrow" w:hAnsi="Arial Narrow"/>
          <w:b/>
          <w:sz w:val="21"/>
          <w:szCs w:val="21"/>
        </w:rPr>
        <w:tab/>
      </w:r>
      <w:r w:rsidRPr="00F863D6">
        <w:rPr>
          <w:rFonts w:ascii="Arial Narrow" w:hAnsi="Arial Narrow"/>
          <w:b/>
          <w:sz w:val="21"/>
          <w:szCs w:val="21"/>
        </w:rPr>
        <w:tab/>
        <w:t xml:space="preserve">               2. </w:t>
      </w:r>
      <w:r w:rsidRPr="00F863D6">
        <w:rPr>
          <w:rFonts w:ascii="Arial Narrow" w:hAnsi="Arial Narrow"/>
          <w:sz w:val="21"/>
          <w:szCs w:val="21"/>
        </w:rPr>
        <w:t>---------------------------------------------------</w:t>
      </w:r>
    </w:p>
    <w:p w:rsidR="00637469" w:rsidRPr="00F863D6" w:rsidRDefault="00637469" w:rsidP="00637469">
      <w:pPr>
        <w:pStyle w:val="SemEspaamento"/>
        <w:rPr>
          <w:rFonts w:ascii="Arial Narrow" w:hAnsi="Arial Narrow" w:cs="Arial"/>
          <w:sz w:val="21"/>
          <w:szCs w:val="21"/>
        </w:rPr>
      </w:pPr>
      <w:r w:rsidRPr="00F863D6">
        <w:rPr>
          <w:rFonts w:ascii="Arial Narrow" w:hAnsi="Arial Narrow" w:cs="Arial"/>
          <w:sz w:val="21"/>
          <w:szCs w:val="21"/>
        </w:rPr>
        <w:t>Nome:</w:t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  <w:t>Nome:</w:t>
      </w:r>
    </w:p>
    <w:p w:rsidR="00637469" w:rsidRPr="00F863D6" w:rsidRDefault="00637469" w:rsidP="00637469">
      <w:pPr>
        <w:pStyle w:val="SemEspaamento"/>
        <w:rPr>
          <w:rFonts w:ascii="Arial Narrow" w:hAnsi="Arial Narrow"/>
          <w:b/>
          <w:sz w:val="21"/>
          <w:szCs w:val="21"/>
        </w:rPr>
      </w:pPr>
      <w:r w:rsidRPr="00F863D6">
        <w:rPr>
          <w:rFonts w:ascii="Arial Narrow" w:hAnsi="Arial Narrow" w:cs="Arial"/>
          <w:sz w:val="21"/>
          <w:szCs w:val="21"/>
        </w:rPr>
        <w:t>CPF:</w:t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</w:r>
      <w:r w:rsidRPr="00F863D6">
        <w:rPr>
          <w:rFonts w:ascii="Arial Narrow" w:hAnsi="Arial Narrow" w:cs="Arial"/>
          <w:sz w:val="21"/>
          <w:szCs w:val="21"/>
        </w:rPr>
        <w:tab/>
        <w:t>CPF:</w:t>
      </w:r>
    </w:p>
    <w:p w:rsidR="00637469" w:rsidRPr="00F863D6" w:rsidRDefault="00637469" w:rsidP="00637469">
      <w:pPr>
        <w:jc w:val="center"/>
        <w:rPr>
          <w:rFonts w:ascii="Arial Narrow" w:hAnsi="Arial Narrow" w:cs="Arial"/>
          <w:b/>
          <w:sz w:val="21"/>
          <w:szCs w:val="21"/>
        </w:rPr>
      </w:pPr>
    </w:p>
    <w:p w:rsidR="00637469" w:rsidRPr="00F863D6" w:rsidRDefault="00637469" w:rsidP="00637469">
      <w:pPr>
        <w:pStyle w:val="SemEspaamento"/>
        <w:jc w:val="center"/>
        <w:rPr>
          <w:rFonts w:ascii="Arial Narrow" w:hAnsi="Arial Narrow"/>
          <w:b/>
          <w:sz w:val="21"/>
          <w:szCs w:val="21"/>
        </w:rPr>
      </w:pPr>
    </w:p>
    <w:p w:rsidR="00637469" w:rsidRPr="00F863D6" w:rsidRDefault="00637469" w:rsidP="00637469">
      <w:pPr>
        <w:pStyle w:val="SemEspaamento"/>
        <w:jc w:val="both"/>
        <w:rPr>
          <w:rFonts w:ascii="Arial Narrow" w:hAnsi="Arial Narrow"/>
          <w:sz w:val="21"/>
          <w:szCs w:val="21"/>
        </w:rPr>
      </w:pPr>
    </w:p>
    <w:p w:rsidR="00637469" w:rsidRPr="00F863D6" w:rsidRDefault="00637469" w:rsidP="00637469">
      <w:pPr>
        <w:rPr>
          <w:rFonts w:ascii="Arial Narrow" w:hAnsi="Arial Narrow"/>
          <w:sz w:val="21"/>
          <w:szCs w:val="21"/>
        </w:rPr>
      </w:pPr>
    </w:p>
    <w:p w:rsidR="00830C0D" w:rsidRPr="00F863D6" w:rsidRDefault="00830C0D">
      <w:pPr>
        <w:rPr>
          <w:rFonts w:ascii="Arial Narrow" w:hAnsi="Arial Narrow"/>
          <w:sz w:val="21"/>
          <w:szCs w:val="21"/>
        </w:rPr>
      </w:pPr>
    </w:p>
    <w:sectPr w:rsidR="00830C0D" w:rsidRPr="00F863D6" w:rsidSect="00FB3708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37" w:rsidRDefault="00454037">
      <w:pPr>
        <w:spacing w:after="0" w:line="240" w:lineRule="auto"/>
      </w:pPr>
      <w:r>
        <w:separator/>
      </w:r>
    </w:p>
  </w:endnote>
  <w:endnote w:type="continuationSeparator" w:id="0">
    <w:p w:rsidR="00454037" w:rsidRDefault="004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913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0299" w:rsidRDefault="00000AC4">
            <w:pPr>
              <w:pStyle w:val="Rodap"/>
              <w:jc w:val="center"/>
            </w:pPr>
            <w:r w:rsidRPr="00BD0299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D4C5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D0299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D4C5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8</w:t>
            </w:r>
            <w:r w:rsidRPr="00BD029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0299" w:rsidRDefault="00DD4C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37" w:rsidRDefault="00454037">
      <w:pPr>
        <w:spacing w:after="0" w:line="240" w:lineRule="auto"/>
      </w:pPr>
      <w:r>
        <w:separator/>
      </w:r>
    </w:p>
  </w:footnote>
  <w:footnote w:type="continuationSeparator" w:id="0">
    <w:p w:rsidR="00454037" w:rsidRDefault="0045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7835"/>
    </w:tblGrid>
    <w:tr w:rsidR="007E7694" w:rsidRPr="00B140AF" w:rsidTr="009F3A23">
      <w:trPr>
        <w:trHeight w:val="746"/>
      </w:trPr>
      <w:tc>
        <w:tcPr>
          <w:tcW w:w="1533" w:type="dxa"/>
          <w:shd w:val="clear" w:color="auto" w:fill="auto"/>
        </w:tcPr>
        <w:p w:rsidR="007E7694" w:rsidRPr="00B140AF" w:rsidRDefault="00000AC4" w:rsidP="009F3A23">
          <w:pPr>
            <w:rPr>
              <w:rFonts w:ascii="Calibri" w:hAnsi="Calibri"/>
              <w:b/>
            </w:rPr>
          </w:pPr>
          <w:r w:rsidRPr="007E7694">
            <w:rPr>
              <w:noProof/>
              <w:sz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49CFA31" wp14:editId="05370897">
                <wp:simplePos x="0" y="0"/>
                <wp:positionH relativeFrom="column">
                  <wp:posOffset>105410</wp:posOffset>
                </wp:positionH>
                <wp:positionV relativeFrom="paragraph">
                  <wp:posOffset>1905</wp:posOffset>
                </wp:positionV>
                <wp:extent cx="894080" cy="823595"/>
                <wp:effectExtent l="0" t="0" r="1270" b="0"/>
                <wp:wrapTight wrapText="bothSides">
                  <wp:wrapPolygon edited="0">
                    <wp:start x="0" y="0"/>
                    <wp:lineTo x="0" y="20984"/>
                    <wp:lineTo x="21170" y="20984"/>
                    <wp:lineTo x="21170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35" w:type="dxa"/>
          <w:tcBorders>
            <w:bottom w:val="nil"/>
          </w:tcBorders>
          <w:shd w:val="clear" w:color="auto" w:fill="auto"/>
        </w:tcPr>
        <w:p w:rsidR="007E7694" w:rsidRDefault="00DD4C51" w:rsidP="007E7694">
          <w:pPr>
            <w:pStyle w:val="SemEspaamento"/>
            <w:rPr>
              <w:rFonts w:ascii="Arial Narrow" w:hAnsi="Arial Narrow"/>
              <w:b/>
            </w:rPr>
          </w:pPr>
        </w:p>
        <w:p w:rsidR="007E7694" w:rsidRPr="007E7694" w:rsidRDefault="00000AC4" w:rsidP="007E7694">
          <w:pPr>
            <w:pStyle w:val="SemEspaamento"/>
            <w:rPr>
              <w:rFonts w:ascii="Arial Narrow" w:hAnsi="Arial Narrow"/>
              <w:b/>
            </w:rPr>
          </w:pPr>
          <w:r w:rsidRPr="007E7694">
            <w:rPr>
              <w:rFonts w:ascii="Arial Narrow" w:hAnsi="Arial Narrow"/>
              <w:b/>
            </w:rPr>
            <w:t>ESTADO DE SANTA CATARINA</w:t>
          </w:r>
        </w:p>
        <w:p w:rsidR="007E7694" w:rsidRPr="007E7694" w:rsidRDefault="00000AC4" w:rsidP="007E7694">
          <w:pPr>
            <w:pStyle w:val="SemEspaamento"/>
            <w:rPr>
              <w:rFonts w:ascii="Arial Narrow" w:hAnsi="Arial Narrow"/>
              <w:b/>
            </w:rPr>
          </w:pPr>
          <w:r w:rsidRPr="007E7694">
            <w:rPr>
              <w:rFonts w:ascii="Arial Narrow" w:hAnsi="Arial Narrow"/>
              <w:b/>
            </w:rPr>
            <w:t>MUNICÍPIO DE LUZERNA</w:t>
          </w:r>
        </w:p>
        <w:p w:rsidR="007E7694" w:rsidRPr="007E7694" w:rsidRDefault="00000AC4" w:rsidP="007E7694">
          <w:pPr>
            <w:pStyle w:val="SemEspaamento"/>
            <w:rPr>
              <w:rFonts w:ascii="Arial Narrow" w:hAnsi="Arial Narrow"/>
              <w:i/>
              <w:sz w:val="20"/>
              <w:szCs w:val="20"/>
            </w:rPr>
          </w:pPr>
          <w:proofErr w:type="gramStart"/>
          <w:r w:rsidRPr="007E7694">
            <w:rPr>
              <w:rFonts w:ascii="Arial Narrow" w:hAnsi="Arial Narrow"/>
              <w:i/>
              <w:sz w:val="20"/>
              <w:szCs w:val="20"/>
            </w:rPr>
            <w:t>Av.</w:t>
          </w:r>
          <w:proofErr w:type="gramEnd"/>
          <w:r w:rsidRPr="007E7694">
            <w:rPr>
              <w:rFonts w:ascii="Arial Narrow" w:hAnsi="Arial Narrow"/>
              <w:i/>
              <w:sz w:val="20"/>
              <w:szCs w:val="20"/>
            </w:rPr>
            <w:t xml:space="preserve"> 16 de Fevereiro, nº 151, Centro, Luzerna/SC, 89609-000</w:t>
          </w:r>
        </w:p>
        <w:p w:rsidR="007E7694" w:rsidRPr="00B140AF" w:rsidRDefault="00000AC4" w:rsidP="007E7694">
          <w:pPr>
            <w:pStyle w:val="SemEspaamento"/>
            <w:rPr>
              <w:rFonts w:ascii="Calibri" w:hAnsi="Calibri"/>
              <w:sz w:val="20"/>
              <w:szCs w:val="20"/>
            </w:rPr>
          </w:pPr>
          <w:r w:rsidRPr="007E7694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2" w:history="1">
            <w:r w:rsidRPr="007E7694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7E7694">
            <w:rPr>
              <w:rFonts w:ascii="Arial Narrow" w:hAnsi="Arial Narrow"/>
              <w:i/>
              <w:sz w:val="20"/>
              <w:szCs w:val="20"/>
            </w:rPr>
            <w:t xml:space="preserve"> |</w:t>
          </w:r>
          <w:r>
            <w:rPr>
              <w:i/>
              <w:sz w:val="20"/>
              <w:szCs w:val="20"/>
            </w:rPr>
            <w:t xml:space="preserve"> </w:t>
          </w:r>
        </w:p>
      </w:tc>
    </w:tr>
  </w:tbl>
  <w:p w:rsidR="007E7694" w:rsidRPr="007E7694" w:rsidRDefault="00DD4C51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E5B"/>
    <w:multiLevelType w:val="multilevel"/>
    <w:tmpl w:val="9BBE4BF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9"/>
    <w:rsid w:val="00000AC4"/>
    <w:rsid w:val="00310B4A"/>
    <w:rsid w:val="003C6C17"/>
    <w:rsid w:val="003E1746"/>
    <w:rsid w:val="00454037"/>
    <w:rsid w:val="00460F71"/>
    <w:rsid w:val="00492FFF"/>
    <w:rsid w:val="004A2152"/>
    <w:rsid w:val="005B7306"/>
    <w:rsid w:val="00637469"/>
    <w:rsid w:val="007B2366"/>
    <w:rsid w:val="00830C0D"/>
    <w:rsid w:val="008A42BA"/>
    <w:rsid w:val="008B3F70"/>
    <w:rsid w:val="00955749"/>
    <w:rsid w:val="00976F11"/>
    <w:rsid w:val="009A0FCB"/>
    <w:rsid w:val="00A5096C"/>
    <w:rsid w:val="00AD1B69"/>
    <w:rsid w:val="00AF0520"/>
    <w:rsid w:val="00B72CB8"/>
    <w:rsid w:val="00CF657B"/>
    <w:rsid w:val="00D36072"/>
    <w:rsid w:val="00D46BAC"/>
    <w:rsid w:val="00DB20FB"/>
    <w:rsid w:val="00DD4C51"/>
    <w:rsid w:val="00E9031E"/>
    <w:rsid w:val="00EC12AF"/>
    <w:rsid w:val="00F17AE0"/>
    <w:rsid w:val="00F56E63"/>
    <w:rsid w:val="00F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74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469"/>
  </w:style>
  <w:style w:type="paragraph" w:styleId="Rodap">
    <w:name w:val="footer"/>
    <w:basedOn w:val="Normal"/>
    <w:link w:val="RodapChar"/>
    <w:uiPriority w:val="99"/>
    <w:unhideWhenUsed/>
    <w:rsid w:val="0063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469"/>
  </w:style>
  <w:style w:type="character" w:styleId="Hyperlink">
    <w:name w:val="Hyperlink"/>
    <w:basedOn w:val="Fontepargpadro"/>
    <w:rsid w:val="006374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74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469"/>
  </w:style>
  <w:style w:type="paragraph" w:styleId="Rodap">
    <w:name w:val="footer"/>
    <w:basedOn w:val="Normal"/>
    <w:link w:val="RodapChar"/>
    <w:uiPriority w:val="99"/>
    <w:unhideWhenUsed/>
    <w:rsid w:val="00637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469"/>
  </w:style>
  <w:style w:type="character" w:styleId="Hyperlink">
    <w:name w:val="Hyperlink"/>
    <w:basedOn w:val="Fontepargpadro"/>
    <w:rsid w:val="006374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E496-A84D-4A47-9405-C8C4BD54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4776</Words>
  <Characters>25791</Characters>
  <Application>Microsoft Office Word</Application>
  <DocSecurity>0</DocSecurity>
  <Lines>214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8</cp:revision>
  <cp:lastPrinted>2018-04-30T20:05:00Z</cp:lastPrinted>
  <dcterms:created xsi:type="dcterms:W3CDTF">2018-04-10T13:06:00Z</dcterms:created>
  <dcterms:modified xsi:type="dcterms:W3CDTF">2018-04-30T20:08:00Z</dcterms:modified>
</cp:coreProperties>
</file>