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174078A6"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1A1437">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0354CB81"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1A1437">
        <w:rPr>
          <w:rFonts w:ascii="Arial Narrow" w:hAnsi="Arial Narrow" w:cs="Arial"/>
          <w:sz w:val="21"/>
          <w:szCs w:val="21"/>
        </w:rPr>
        <w:t>4</w:t>
      </w:r>
      <w:r>
        <w:rPr>
          <w:rFonts w:ascii="Arial Narrow" w:hAnsi="Arial Narrow" w:cs="Arial"/>
          <w:sz w:val="21"/>
          <w:szCs w:val="21"/>
        </w:rPr>
        <w:t xml:space="preserve"> (</w:t>
      </w:r>
      <w:r w:rsidR="001A1437">
        <w:rPr>
          <w:rFonts w:ascii="Arial Narrow" w:hAnsi="Arial Narrow" w:cs="Arial"/>
          <w:sz w:val="21"/>
          <w:szCs w:val="21"/>
        </w:rPr>
        <w:t>quatorze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656C1338"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1A1437">
        <w:rPr>
          <w:rFonts w:ascii="Arial Narrow" w:hAnsi="Arial Narrow"/>
          <w:b/>
          <w:color w:val="000000"/>
          <w:sz w:val="21"/>
          <w:szCs w:val="21"/>
        </w:rPr>
        <w:t>5</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bookmarkStart w:id="0" w:name="OLE_LINK4"/>
      <w:r w:rsidR="00380A8D">
        <w:rPr>
          <w:rFonts w:ascii="Arial Narrow" w:hAnsi="Arial Narrow"/>
          <w:b/>
          <w:sz w:val="21"/>
          <w:szCs w:val="21"/>
        </w:rPr>
        <w:t>LUISA SALETE ZAGO CORSO ME</w:t>
      </w:r>
      <w:bookmarkEnd w:id="0"/>
      <w:r w:rsidR="00380A8D">
        <w:rPr>
          <w:rFonts w:ascii="Arial Narrow" w:hAnsi="Arial Narrow"/>
          <w:sz w:val="21"/>
          <w:szCs w:val="21"/>
        </w:rPr>
        <w:t xml:space="preserve">, pessoa jurídica de direito privado, situada na Av. 16 de fevereiro, 187 sala E-11, Centro, na cidade de Luzerna/SC, inscrita no CNPJ sob o nº 07.832.859/0001-06, neste ato representada por </w:t>
      </w:r>
      <w:r w:rsidR="006250EE">
        <w:rPr>
          <w:rFonts w:ascii="Arial Narrow" w:hAnsi="Arial Narrow"/>
          <w:b/>
          <w:sz w:val="21"/>
          <w:szCs w:val="21"/>
        </w:rPr>
        <w:t>LUISA SALETE ZAGO CORSO</w:t>
      </w:r>
      <w:r w:rsidR="00380A8D">
        <w:rPr>
          <w:rFonts w:ascii="Arial Narrow" w:hAnsi="Arial Narrow"/>
          <w:sz w:val="21"/>
          <w:szCs w:val="21"/>
        </w:rPr>
        <w:t>, portador</w:t>
      </w:r>
      <w:r w:rsidR="006250EE">
        <w:rPr>
          <w:rFonts w:ascii="Arial Narrow" w:hAnsi="Arial Narrow"/>
          <w:sz w:val="21"/>
          <w:szCs w:val="21"/>
        </w:rPr>
        <w:t>a</w:t>
      </w:r>
      <w:r w:rsidR="00380A8D">
        <w:rPr>
          <w:rFonts w:ascii="Arial Narrow" w:hAnsi="Arial Narrow"/>
          <w:sz w:val="21"/>
          <w:szCs w:val="21"/>
        </w:rPr>
        <w:t xml:space="preserve"> da cédula de identidade nº 2.</w:t>
      </w:r>
      <w:r w:rsidR="006250EE">
        <w:rPr>
          <w:rFonts w:ascii="Arial Narrow" w:hAnsi="Arial Narrow"/>
          <w:sz w:val="21"/>
          <w:szCs w:val="21"/>
        </w:rPr>
        <w:t>975</w:t>
      </w:r>
      <w:r w:rsidR="00380A8D">
        <w:rPr>
          <w:rFonts w:ascii="Arial Narrow" w:hAnsi="Arial Narrow"/>
          <w:sz w:val="21"/>
          <w:szCs w:val="21"/>
        </w:rPr>
        <w:t>.</w:t>
      </w:r>
      <w:r w:rsidR="006250EE">
        <w:rPr>
          <w:rFonts w:ascii="Arial Narrow" w:hAnsi="Arial Narrow"/>
          <w:sz w:val="21"/>
          <w:szCs w:val="21"/>
        </w:rPr>
        <w:t>872</w:t>
      </w:r>
      <w:r w:rsidR="00380A8D">
        <w:rPr>
          <w:rFonts w:ascii="Arial Narrow" w:hAnsi="Arial Narrow"/>
          <w:sz w:val="21"/>
          <w:szCs w:val="21"/>
        </w:rPr>
        <w:t xml:space="preserve"> e inscrit</w:t>
      </w:r>
      <w:r w:rsidR="006250EE">
        <w:rPr>
          <w:rFonts w:ascii="Arial Narrow" w:hAnsi="Arial Narrow"/>
          <w:sz w:val="21"/>
          <w:szCs w:val="21"/>
        </w:rPr>
        <w:t>a</w:t>
      </w:r>
      <w:r w:rsidR="00380A8D">
        <w:rPr>
          <w:rFonts w:ascii="Arial Narrow" w:hAnsi="Arial Narrow"/>
          <w:sz w:val="21"/>
          <w:szCs w:val="21"/>
        </w:rPr>
        <w:t xml:space="preserve"> no CPF/MF sob o nº 84</w:t>
      </w:r>
      <w:r w:rsidR="006250EE">
        <w:rPr>
          <w:rFonts w:ascii="Arial Narrow" w:hAnsi="Arial Narrow"/>
          <w:sz w:val="21"/>
          <w:szCs w:val="21"/>
        </w:rPr>
        <w:t>6</w:t>
      </w:r>
      <w:r w:rsidR="00380A8D">
        <w:rPr>
          <w:rFonts w:ascii="Arial Narrow" w:hAnsi="Arial Narrow"/>
          <w:sz w:val="21"/>
          <w:szCs w:val="21"/>
        </w:rPr>
        <w:t>.2</w:t>
      </w:r>
      <w:r w:rsidR="006250EE">
        <w:rPr>
          <w:rFonts w:ascii="Arial Narrow" w:hAnsi="Arial Narrow"/>
          <w:sz w:val="21"/>
          <w:szCs w:val="21"/>
        </w:rPr>
        <w:t>3</w:t>
      </w:r>
      <w:r w:rsidR="00380A8D">
        <w:rPr>
          <w:rFonts w:ascii="Arial Narrow" w:hAnsi="Arial Narrow"/>
          <w:sz w:val="21"/>
          <w:szCs w:val="21"/>
        </w:rPr>
        <w:t>2.</w:t>
      </w:r>
      <w:r w:rsidR="006250EE">
        <w:rPr>
          <w:rFonts w:ascii="Arial Narrow" w:hAnsi="Arial Narrow"/>
          <w:sz w:val="21"/>
          <w:szCs w:val="21"/>
        </w:rPr>
        <w:t>92</w:t>
      </w:r>
      <w:r w:rsidR="00380A8D">
        <w:rPr>
          <w:rFonts w:ascii="Arial Narrow" w:hAnsi="Arial Narrow"/>
          <w:sz w:val="21"/>
          <w:szCs w:val="21"/>
        </w:rPr>
        <w:t>9-</w:t>
      </w:r>
      <w:r w:rsidR="006250EE">
        <w:rPr>
          <w:rFonts w:ascii="Arial Narrow" w:hAnsi="Arial Narrow"/>
          <w:sz w:val="21"/>
          <w:szCs w:val="21"/>
        </w:rPr>
        <w:t>91</w:t>
      </w:r>
      <w:r w:rsidR="00380A8D">
        <w:rPr>
          <w:rFonts w:ascii="Arial Narrow" w:hAnsi="Arial Narrow"/>
          <w:sz w:val="21"/>
          <w:szCs w:val="21"/>
        </w:rPr>
        <w:t xml:space="preserve">, denominado </w:t>
      </w:r>
      <w:r w:rsidR="00CA48E3">
        <w:rPr>
          <w:rFonts w:ascii="Arial Narrow" w:hAnsi="Arial Narrow"/>
          <w:b/>
          <w:color w:val="000000"/>
          <w:sz w:val="21"/>
          <w:szCs w:val="21"/>
        </w:rPr>
        <w:t>FORNECEDOR 0</w:t>
      </w:r>
      <w:r w:rsidR="001A1437">
        <w:rPr>
          <w:rFonts w:ascii="Arial Narrow" w:hAnsi="Arial Narrow"/>
          <w:b/>
          <w:color w:val="000000"/>
          <w:sz w:val="21"/>
          <w:szCs w:val="21"/>
        </w:rPr>
        <w:t>5</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107DEA"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4CE5535C" w:rsidR="00107DEA" w:rsidRPr="00575CC4" w:rsidRDefault="00DC0D0B" w:rsidP="00107DEA">
            <w:pPr>
              <w:jc w:val="center"/>
              <w:rPr>
                <w:rFonts w:ascii="Arial Narrow" w:hAnsi="Arial Narrow" w:cs="Arial"/>
                <w:sz w:val="21"/>
                <w:szCs w:val="21"/>
              </w:rPr>
            </w:pPr>
            <w:r>
              <w:rPr>
                <w:rFonts w:ascii="Arial Narrow" w:hAnsi="Arial Narrow" w:cs="Arial"/>
                <w:sz w:val="21"/>
                <w:szCs w:val="21"/>
              </w:rPr>
              <w:t>21</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261EF21E" w:rsidR="00107DEA" w:rsidRPr="00575CC4" w:rsidRDefault="0064675E" w:rsidP="00107DEA">
            <w:pPr>
              <w:jc w:val="center"/>
              <w:rPr>
                <w:rFonts w:ascii="Arial Narrow" w:hAnsi="Arial Narrow" w:cs="Arial"/>
                <w:sz w:val="21"/>
                <w:szCs w:val="21"/>
              </w:rPr>
            </w:pPr>
            <w:r>
              <w:rPr>
                <w:rFonts w:ascii="Arial Narrow" w:hAnsi="Arial Narrow" w:cs="Arial"/>
                <w:sz w:val="21"/>
                <w:szCs w:val="21"/>
              </w:rPr>
              <w:t>2</w:t>
            </w:r>
            <w:r w:rsidR="00107DEA">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38CDD847" w:rsidR="00107DEA" w:rsidRPr="00575CC4" w:rsidRDefault="00107DEA"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439E8F6F" w:rsidR="00107DEA" w:rsidRPr="00575CC4" w:rsidRDefault="00ED462E" w:rsidP="00ED462E">
            <w:pPr>
              <w:spacing w:line="276" w:lineRule="auto"/>
              <w:jc w:val="both"/>
              <w:rPr>
                <w:rFonts w:ascii="Arial Narrow" w:hAnsi="Arial Narrow"/>
                <w:sz w:val="21"/>
                <w:szCs w:val="21"/>
                <w:lang w:eastAsia="en-US"/>
              </w:rPr>
            </w:pPr>
            <w:r>
              <w:rPr>
                <w:rFonts w:ascii="Arial Narrow" w:hAnsi="Arial Narrow"/>
                <w:sz w:val="21"/>
                <w:szCs w:val="21"/>
                <w:lang w:eastAsia="en-US"/>
              </w:rPr>
              <w:t>BISCOITO ASSADO TIPO ROSCA DE PÃO, com calda de açúcar. SEM GORDURA TRANS. Ingredientes básicos: Farinha de trigo enriquecida com ferro e ácido fólico, sal, açúcar, fermento biológico, reforçador de massa e calda de açúcar. Validade de 5 meses. Embalagem contendo de 200 a 300g.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46C3ABF7" w:rsidR="00107DEA" w:rsidRPr="00575CC4" w:rsidRDefault="006A5BD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5,25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02B8A8ED" w:rsidR="00107DEA" w:rsidRPr="00575CC4" w:rsidRDefault="006A5BD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1.312,50</w:t>
            </w:r>
          </w:p>
        </w:tc>
      </w:tr>
      <w:tr w:rsidR="00107DEA"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017992F7" w:rsidR="00107DEA" w:rsidRDefault="00DC0D0B" w:rsidP="00107DEA">
            <w:pPr>
              <w:jc w:val="center"/>
              <w:rPr>
                <w:rFonts w:ascii="Arial Narrow" w:hAnsi="Arial Narrow" w:cs="Arial"/>
                <w:sz w:val="21"/>
                <w:szCs w:val="21"/>
              </w:rPr>
            </w:pPr>
            <w:r>
              <w:rPr>
                <w:rFonts w:ascii="Arial Narrow" w:hAnsi="Arial Narrow" w:cs="Arial"/>
                <w:sz w:val="21"/>
                <w:szCs w:val="21"/>
              </w:rPr>
              <w:t>52</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57EF44AB" w:rsidR="00107DEA" w:rsidRDefault="0064675E" w:rsidP="00107DEA">
            <w:pPr>
              <w:jc w:val="center"/>
              <w:rPr>
                <w:rFonts w:ascii="Arial Narrow" w:hAnsi="Arial Narrow" w:cs="Arial"/>
                <w:sz w:val="21"/>
                <w:szCs w:val="21"/>
              </w:rPr>
            </w:pPr>
            <w:r>
              <w:rPr>
                <w:rFonts w:ascii="Arial Narrow" w:hAnsi="Arial Narrow" w:cs="Arial"/>
                <w:sz w:val="21"/>
                <w:szCs w:val="21"/>
              </w:rPr>
              <w:t>3</w:t>
            </w:r>
            <w:r w:rsidR="00107DEA">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74B564B3" w:rsidR="00107DEA" w:rsidRDefault="0064675E"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41C8F5B9" w:rsidR="00107DEA" w:rsidRPr="00ED462E" w:rsidRDefault="00ED462E" w:rsidP="00ED462E">
            <w:pPr>
              <w:spacing w:line="276" w:lineRule="auto"/>
              <w:jc w:val="both"/>
              <w:rPr>
                <w:rFonts w:ascii="Arial Narrow" w:hAnsi="Arial Narrow"/>
                <w:sz w:val="21"/>
                <w:szCs w:val="21"/>
                <w:lang w:eastAsia="en-US"/>
              </w:rPr>
            </w:pPr>
            <w:r>
              <w:rPr>
                <w:rFonts w:ascii="Arial Narrow" w:hAnsi="Arial Narrow"/>
                <w:sz w:val="21"/>
                <w:szCs w:val="21"/>
                <w:lang w:eastAsia="en-US"/>
              </w:rPr>
              <w:t>CUCA CASEIRA, sem recheio, unidades de 500 gramas, fresca, macia, sem presença de sujidades, feita no dia da entrega. Não deve ser embalada quente. Embalagem plástica atóxica, com identificação do produto, rótulo com ingredientes, valor nutricional, peso, fabricante, data de fabricação 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0E438DD0" w:rsidR="00107DEA" w:rsidRDefault="006A5BD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3516B8BB" w:rsidR="00107DEA" w:rsidRDefault="006A5BD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3.097,50</w:t>
            </w:r>
          </w:p>
        </w:tc>
      </w:tr>
      <w:tr w:rsidR="00ED462E"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36CAC610" w:rsidR="00ED462E" w:rsidRDefault="00ED462E" w:rsidP="00ED462E">
            <w:pPr>
              <w:jc w:val="center"/>
              <w:rPr>
                <w:rFonts w:ascii="Arial Narrow" w:hAnsi="Arial Narrow" w:cs="Arial"/>
                <w:sz w:val="21"/>
                <w:szCs w:val="21"/>
              </w:rPr>
            </w:pPr>
            <w:r>
              <w:rPr>
                <w:rFonts w:ascii="Arial Narrow" w:hAnsi="Arial Narrow" w:cs="Arial"/>
                <w:sz w:val="21"/>
                <w:szCs w:val="21"/>
              </w:rPr>
              <w:t>95</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1BA4D75C" w:rsidR="00ED462E" w:rsidRDefault="00ED462E" w:rsidP="00ED462E">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62222BB9" w:rsidR="00ED462E" w:rsidRDefault="00ED462E" w:rsidP="00ED462E">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191AA0FA" w:rsidR="00ED462E" w:rsidRPr="004B348D" w:rsidRDefault="00ED462E" w:rsidP="00ED462E">
            <w:pPr>
              <w:jc w:val="both"/>
              <w:rPr>
                <w:rFonts w:ascii="Arial Narrow" w:hAnsi="Arial Narrow"/>
                <w:sz w:val="21"/>
                <w:szCs w:val="21"/>
              </w:rPr>
            </w:pPr>
            <w:r>
              <w:rPr>
                <w:rFonts w:ascii="Arial Narrow" w:hAnsi="Arial Narrow"/>
                <w:sz w:val="21"/>
                <w:szCs w:val="21"/>
                <w:lang w:eastAsia="en-US"/>
              </w:rPr>
              <w:t xml:space="preserve">PÃO DE CACHORRO-QUENTE, pesando aproximadamente 50g por unidade. Fabricado no dia da entrega. Embalados em sacos plásticos atóxicos com identificação do produto, rótulo com </w:t>
            </w:r>
            <w:r>
              <w:rPr>
                <w:rFonts w:ascii="Arial Narrow" w:hAnsi="Arial Narrow"/>
                <w:sz w:val="21"/>
                <w:szCs w:val="21"/>
                <w:lang w:eastAsia="en-US"/>
              </w:rPr>
              <w:lastRenderedPageBreak/>
              <w:t>ingredientes, valor nutricional, peso, fabricante, data de fabricação 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026B3E66"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10,98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104C16EA"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549,00</w:t>
            </w:r>
          </w:p>
        </w:tc>
      </w:tr>
      <w:tr w:rsidR="00ED462E" w:rsidRPr="009D60D3" w14:paraId="2C6F46B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33B749" w14:textId="254C4E60" w:rsidR="00ED462E" w:rsidRDefault="00ED462E" w:rsidP="00ED462E">
            <w:pPr>
              <w:jc w:val="center"/>
              <w:rPr>
                <w:rFonts w:ascii="Arial Narrow" w:hAnsi="Arial Narrow" w:cs="Arial"/>
                <w:sz w:val="21"/>
                <w:szCs w:val="21"/>
              </w:rPr>
            </w:pPr>
            <w:r>
              <w:rPr>
                <w:rFonts w:ascii="Arial Narrow" w:hAnsi="Arial Narrow" w:cs="Arial"/>
                <w:sz w:val="21"/>
                <w:szCs w:val="21"/>
              </w:rPr>
              <w:t>96</w:t>
            </w:r>
          </w:p>
        </w:tc>
        <w:tc>
          <w:tcPr>
            <w:tcW w:w="907" w:type="dxa"/>
            <w:tcBorders>
              <w:top w:val="single" w:sz="4" w:space="0" w:color="auto"/>
              <w:left w:val="single" w:sz="4" w:space="0" w:color="auto"/>
              <w:bottom w:val="single" w:sz="4" w:space="0" w:color="auto"/>
              <w:right w:val="single" w:sz="4" w:space="0" w:color="auto"/>
            </w:tcBorders>
            <w:vAlign w:val="center"/>
          </w:tcPr>
          <w:p w14:paraId="520B48F4" w14:textId="7A7AFFAA" w:rsidR="00ED462E" w:rsidRDefault="00ED462E" w:rsidP="00ED462E">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15FAA5E4" w14:textId="759AC2A8" w:rsidR="00ED462E" w:rsidRDefault="00ED462E" w:rsidP="00ED462E">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BBAC8DC" w14:textId="2D9E5995" w:rsidR="00ED462E" w:rsidRPr="004B348D" w:rsidRDefault="00ED462E" w:rsidP="00ED462E">
            <w:pPr>
              <w:jc w:val="both"/>
              <w:rPr>
                <w:rFonts w:ascii="Arial Narrow" w:hAnsi="Arial Narrow"/>
                <w:sz w:val="21"/>
                <w:szCs w:val="21"/>
              </w:rPr>
            </w:pPr>
            <w:r>
              <w:rPr>
                <w:rFonts w:ascii="Arial Narrow" w:hAnsi="Arial Narrow"/>
                <w:sz w:val="21"/>
                <w:szCs w:val="21"/>
                <w:lang w:eastAsia="en-US"/>
              </w:rPr>
              <w:t>PÃO FATIADO, acondicionado em embalagem plástica atóxica, fechada, resistente. A embalagem deverá conter externamente os dados de identificação e procedência, informações nutricionais, número de lote, data de validade, quantidade do produto.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88021" w14:textId="1A5FA926"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5,25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5485" w14:textId="421FA5A7"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1.312,50</w:t>
            </w:r>
          </w:p>
        </w:tc>
      </w:tr>
      <w:tr w:rsidR="00ED462E"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4EBC506E" w:rsidR="00ED462E" w:rsidRDefault="00ED462E" w:rsidP="00ED462E">
            <w:pPr>
              <w:jc w:val="center"/>
              <w:rPr>
                <w:rFonts w:ascii="Arial Narrow" w:hAnsi="Arial Narrow" w:cs="Arial"/>
                <w:sz w:val="21"/>
                <w:szCs w:val="21"/>
              </w:rPr>
            </w:pPr>
            <w:r>
              <w:rPr>
                <w:rFonts w:ascii="Arial Narrow" w:hAnsi="Arial Narrow" w:cs="Arial"/>
                <w:sz w:val="21"/>
                <w:szCs w:val="21"/>
              </w:rPr>
              <w:t>97</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55808087" w:rsidR="00ED462E" w:rsidRDefault="00ED462E" w:rsidP="00ED462E">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ED462E" w:rsidRDefault="00ED462E" w:rsidP="00ED462E">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2EDF7CE6" w:rsidR="00ED462E" w:rsidRPr="004B348D" w:rsidRDefault="00ED462E" w:rsidP="00ED462E">
            <w:pPr>
              <w:jc w:val="both"/>
              <w:rPr>
                <w:rFonts w:ascii="Arial Narrow" w:hAnsi="Arial Narrow"/>
                <w:sz w:val="21"/>
                <w:szCs w:val="21"/>
              </w:rPr>
            </w:pPr>
            <w:r>
              <w:rPr>
                <w:rFonts w:ascii="Arial Narrow" w:hAnsi="Arial Narrow"/>
                <w:sz w:val="21"/>
                <w:szCs w:val="21"/>
                <w:lang w:eastAsia="en-US"/>
              </w:rPr>
              <w:t>PÃO FATIADO INTEGRAL, acondicionado em embalagem plástica atóxica, fechada, resistente. A embalagem deverá conter externamente os dados de identificação e procedência, informações nutricionais, número de lote, data de validade, quantidade do produto.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5B08B0A5"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6,00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0D53330F"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900,00</w:t>
            </w:r>
          </w:p>
        </w:tc>
      </w:tr>
      <w:tr w:rsidR="00ED462E"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5798C3F0" w:rsidR="00ED462E" w:rsidRDefault="00ED462E" w:rsidP="00ED462E">
            <w:pPr>
              <w:jc w:val="center"/>
              <w:rPr>
                <w:rFonts w:ascii="Arial Narrow" w:hAnsi="Arial Narrow" w:cs="Arial"/>
                <w:sz w:val="21"/>
                <w:szCs w:val="21"/>
              </w:rPr>
            </w:pPr>
            <w:r>
              <w:rPr>
                <w:rFonts w:ascii="Arial Narrow" w:hAnsi="Arial Narrow" w:cs="Arial"/>
                <w:sz w:val="21"/>
                <w:szCs w:val="21"/>
              </w:rPr>
              <w:t>98</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2479D08A" w:rsidR="00ED462E" w:rsidRDefault="00ED462E" w:rsidP="00ED462E">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1ECD7E78" w:rsidR="00ED462E" w:rsidRDefault="00ED462E" w:rsidP="00ED462E">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4EC7603E" w:rsidR="00ED462E" w:rsidRPr="004B348D" w:rsidRDefault="00ED462E" w:rsidP="00ED462E">
            <w:pPr>
              <w:jc w:val="both"/>
              <w:rPr>
                <w:rFonts w:ascii="Arial Narrow" w:hAnsi="Arial Narrow"/>
                <w:sz w:val="21"/>
                <w:szCs w:val="21"/>
              </w:rPr>
            </w:pPr>
            <w:r>
              <w:rPr>
                <w:rFonts w:ascii="Arial Narrow" w:hAnsi="Arial Narrow"/>
                <w:sz w:val="21"/>
                <w:szCs w:val="21"/>
                <w:lang w:eastAsia="en-US"/>
              </w:rPr>
              <w:t>PAO FRANCES, unidade de 50 g, fresco, macio, sem presença de sujidades, feito no dia da entrega. Não deve ser embalado quente. Embalagem plástica atóxica, com identificação do produto, rótulo com ingredientes, valor nutricional, peso, fabricante, data de fabricação,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4DFF3E02"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0419FF37"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2.396,00</w:t>
            </w:r>
          </w:p>
        </w:tc>
      </w:tr>
      <w:tr w:rsidR="00ED462E"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486712D1" w:rsidR="00ED462E" w:rsidRDefault="00ED462E" w:rsidP="00ED462E">
            <w:pPr>
              <w:jc w:val="center"/>
              <w:rPr>
                <w:rFonts w:ascii="Arial Narrow" w:hAnsi="Arial Narrow" w:cs="Arial"/>
                <w:sz w:val="21"/>
                <w:szCs w:val="21"/>
              </w:rPr>
            </w:pPr>
            <w:r>
              <w:rPr>
                <w:rFonts w:ascii="Arial Narrow" w:hAnsi="Arial Narrow" w:cs="Arial"/>
                <w:sz w:val="21"/>
                <w:szCs w:val="21"/>
              </w:rPr>
              <w:t>99</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2EEFA78D" w:rsidR="00ED462E" w:rsidRDefault="00ED462E" w:rsidP="00ED462E">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743DD692" w:rsidR="00ED462E" w:rsidRDefault="00ED462E" w:rsidP="00ED462E">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5C7298B3" w:rsidR="00ED462E" w:rsidRPr="004B348D" w:rsidRDefault="00ED462E" w:rsidP="00ED462E">
            <w:pPr>
              <w:jc w:val="both"/>
              <w:rPr>
                <w:rFonts w:ascii="Arial Narrow" w:hAnsi="Arial Narrow"/>
                <w:sz w:val="21"/>
                <w:szCs w:val="21"/>
              </w:rPr>
            </w:pPr>
            <w:r>
              <w:rPr>
                <w:rFonts w:ascii="Arial Narrow" w:hAnsi="Arial Narrow"/>
                <w:sz w:val="21"/>
                <w:szCs w:val="21"/>
                <w:lang w:eastAsia="en-US"/>
              </w:rPr>
              <w:t>PÃO TIPO BISNAGUINHA, acondicionado em embalagem plástica atóxica, fechada, resistente. A embalagem deverá conter externamente os dados de identificação e procedência, informações nutricionais, número de lote, data de validade e quantidade do produto.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3B5052FC"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15,70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6BEE66FA"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1.256,00</w:t>
            </w:r>
          </w:p>
        </w:tc>
      </w:tr>
      <w:tr w:rsidR="00ED462E" w:rsidRPr="009D60D3" w14:paraId="3B01AC3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573FFA6" w14:textId="77877EC2" w:rsidR="00ED462E" w:rsidRDefault="00ED462E" w:rsidP="00ED462E">
            <w:pPr>
              <w:jc w:val="center"/>
              <w:rPr>
                <w:rFonts w:ascii="Arial Narrow" w:hAnsi="Arial Narrow" w:cs="Arial"/>
                <w:sz w:val="21"/>
                <w:szCs w:val="21"/>
              </w:rPr>
            </w:pPr>
            <w:r>
              <w:rPr>
                <w:rFonts w:ascii="Arial Narrow" w:hAnsi="Arial Narrow" w:cs="Arial"/>
                <w:sz w:val="21"/>
                <w:szCs w:val="21"/>
              </w:rPr>
              <w:t>100</w:t>
            </w:r>
          </w:p>
        </w:tc>
        <w:tc>
          <w:tcPr>
            <w:tcW w:w="907" w:type="dxa"/>
            <w:tcBorders>
              <w:top w:val="single" w:sz="4" w:space="0" w:color="auto"/>
              <w:left w:val="single" w:sz="4" w:space="0" w:color="auto"/>
              <w:bottom w:val="single" w:sz="4" w:space="0" w:color="auto"/>
              <w:right w:val="single" w:sz="4" w:space="0" w:color="auto"/>
            </w:tcBorders>
            <w:vAlign w:val="center"/>
          </w:tcPr>
          <w:p w14:paraId="3E235367" w14:textId="1BF7E99F" w:rsidR="00ED462E" w:rsidRDefault="00ED462E" w:rsidP="00ED462E">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6C4376EC" w14:textId="0A3A9652" w:rsidR="00ED462E" w:rsidRDefault="00ED462E" w:rsidP="00ED462E">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3363A23" w14:textId="3358E218" w:rsidR="00ED462E" w:rsidRPr="004B348D" w:rsidRDefault="00ED462E" w:rsidP="00ED462E">
            <w:pPr>
              <w:jc w:val="both"/>
              <w:rPr>
                <w:rFonts w:ascii="Arial Narrow" w:hAnsi="Arial Narrow"/>
                <w:sz w:val="21"/>
                <w:szCs w:val="21"/>
              </w:rPr>
            </w:pPr>
            <w:r>
              <w:rPr>
                <w:rFonts w:ascii="Arial Narrow" w:hAnsi="Arial Narrow"/>
                <w:sz w:val="21"/>
                <w:szCs w:val="21"/>
                <w:lang w:eastAsia="en-US"/>
              </w:rPr>
              <w:t>PÃO TIPO CASEIRINHO, unidade com peso médio de 25 g, formulado a base de farinha de trigo, manteiga, açúcar, sal, água e fermento. Fabricado no dia da entrega. Embalados em sacos plásticos atóxicos com identificação do produto, rótulo com ingredientes, valor nutricional, peso, fabricante, data de fabricação 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3B0B" w14:textId="26343685"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11,95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BEE1" w14:textId="33F18087" w:rsidR="00ED462E" w:rsidRDefault="00ED462E" w:rsidP="00ED462E">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2.987,50</w:t>
            </w:r>
          </w:p>
        </w:tc>
      </w:tr>
    </w:tbl>
    <w:p w14:paraId="37DC8603" w14:textId="43F475DF"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2A4C045"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1A1437">
        <w:rPr>
          <w:rFonts w:ascii="Arial Narrow" w:hAnsi="Arial Narrow" w:cs="Arial"/>
          <w:b/>
          <w:bCs/>
          <w:sz w:val="21"/>
          <w:szCs w:val="21"/>
        </w:rPr>
        <w:t>5</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8357C">
        <w:rPr>
          <w:rFonts w:ascii="Arial Narrow" w:hAnsi="Arial Narrow" w:cs="Arial"/>
          <w:b/>
          <w:bCs/>
          <w:sz w:val="21"/>
          <w:szCs w:val="21"/>
        </w:rPr>
        <w:t>1</w:t>
      </w:r>
      <w:r w:rsidR="000D0EB0">
        <w:rPr>
          <w:rFonts w:ascii="Arial Narrow" w:hAnsi="Arial Narrow" w:cs="Arial"/>
          <w:b/>
          <w:bCs/>
          <w:sz w:val="21"/>
          <w:szCs w:val="21"/>
        </w:rPr>
        <w:t>3</w:t>
      </w:r>
      <w:r w:rsidR="00636354">
        <w:rPr>
          <w:rFonts w:ascii="Arial Narrow" w:hAnsi="Arial Narrow" w:cs="Arial"/>
          <w:b/>
          <w:bCs/>
          <w:sz w:val="21"/>
          <w:szCs w:val="21"/>
        </w:rPr>
        <w:t>.</w:t>
      </w:r>
      <w:r w:rsidR="00A8357C">
        <w:rPr>
          <w:rFonts w:ascii="Arial Narrow" w:hAnsi="Arial Narrow" w:cs="Arial"/>
          <w:b/>
          <w:bCs/>
          <w:sz w:val="21"/>
          <w:szCs w:val="21"/>
        </w:rPr>
        <w:t>811</w:t>
      </w:r>
      <w:r w:rsidR="004311F8">
        <w:rPr>
          <w:rFonts w:ascii="Arial Narrow" w:hAnsi="Arial Narrow" w:cs="Arial"/>
          <w:b/>
          <w:bCs/>
          <w:sz w:val="21"/>
          <w:szCs w:val="21"/>
        </w:rPr>
        <w:t>,</w:t>
      </w:r>
      <w:r w:rsidR="00A8357C">
        <w:rPr>
          <w:rFonts w:ascii="Arial Narrow" w:hAnsi="Arial Narrow" w:cs="Arial"/>
          <w:b/>
          <w:bCs/>
          <w:sz w:val="21"/>
          <w:szCs w:val="21"/>
        </w:rPr>
        <w:t>0</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A8357C">
        <w:rPr>
          <w:rFonts w:ascii="Arial Narrow" w:hAnsi="Arial Narrow" w:cs="Arial"/>
          <w:b/>
          <w:bCs/>
          <w:sz w:val="21"/>
          <w:szCs w:val="21"/>
        </w:rPr>
        <w:t>treze</w:t>
      </w:r>
      <w:r w:rsidR="008740E7">
        <w:rPr>
          <w:rFonts w:ascii="Arial Narrow" w:hAnsi="Arial Narrow" w:cs="Arial"/>
          <w:b/>
          <w:bCs/>
          <w:sz w:val="21"/>
          <w:szCs w:val="21"/>
        </w:rPr>
        <w:t xml:space="preserve"> mil, </w:t>
      </w:r>
      <w:r w:rsidR="00A8357C">
        <w:rPr>
          <w:rFonts w:ascii="Arial Narrow" w:hAnsi="Arial Narrow" w:cs="Arial"/>
          <w:b/>
          <w:bCs/>
          <w:sz w:val="21"/>
          <w:szCs w:val="21"/>
        </w:rPr>
        <w:t>oitocentos</w:t>
      </w:r>
      <w:r w:rsidR="008740E7">
        <w:rPr>
          <w:rFonts w:ascii="Arial Narrow" w:hAnsi="Arial Narrow" w:cs="Arial"/>
          <w:b/>
          <w:bCs/>
          <w:sz w:val="21"/>
          <w:szCs w:val="21"/>
        </w:rPr>
        <w:t xml:space="preserve"> e </w:t>
      </w:r>
      <w:r w:rsidR="00A8357C">
        <w:rPr>
          <w:rFonts w:ascii="Arial Narrow" w:hAnsi="Arial Narrow" w:cs="Arial"/>
          <w:b/>
          <w:bCs/>
          <w:sz w:val="21"/>
          <w:szCs w:val="21"/>
        </w:rPr>
        <w:t>onze</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lastRenderedPageBreak/>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1"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1"/>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r w:rsidR="00175871">
        <w:rPr>
          <w:rFonts w:ascii="Arial Narrow" w:hAnsi="Arial Narrow"/>
          <w:sz w:val="21"/>
          <w:szCs w:val="21"/>
        </w:rPr>
        <w:t>is</w:t>
      </w:r>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 xml:space="preserve">e participar de </w:t>
      </w:r>
      <w:r w:rsidR="00175871" w:rsidRPr="00216DF2">
        <w:rPr>
          <w:rFonts w:ascii="Arial Narrow" w:hAnsi="Arial Narrow"/>
          <w:sz w:val="21"/>
          <w:szCs w:val="21"/>
        </w:rPr>
        <w:lastRenderedPageBreak/>
        <w:t>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w:t>
      </w:r>
      <w:r w:rsidR="00175871" w:rsidRPr="0028453A">
        <w:rPr>
          <w:rFonts w:ascii="Arial Narrow" w:hAnsi="Arial Narrow"/>
          <w:sz w:val="21"/>
          <w:szCs w:val="21"/>
          <w:lang w:eastAsia="ar-SA"/>
        </w:rPr>
        <w:lastRenderedPageBreak/>
        <w:t>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lastRenderedPageBreak/>
              <w:t xml:space="preserve">07.001.12.306.0701.4705-Manutenção da alimentação escolar - Pré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F2BB9B4"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A1437">
        <w:rPr>
          <w:rFonts w:ascii="Arial Narrow" w:hAnsi="Arial Narrow" w:cs="Arial"/>
          <w:sz w:val="21"/>
          <w:szCs w:val="21"/>
        </w:rPr>
        <w:t>4</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68241A0B" w14:textId="77777777" w:rsidR="00265E60" w:rsidRDefault="00265E60" w:rsidP="00265E60">
      <w:pPr>
        <w:jc w:val="center"/>
      </w:pPr>
      <w:r>
        <w:rPr>
          <w:rFonts w:ascii="Arial Narrow" w:hAnsi="Arial Narrow"/>
          <w:b/>
          <w:sz w:val="21"/>
          <w:szCs w:val="21"/>
        </w:rPr>
        <w:t>LUISA SALETE ZAGO CORSO ME</w:t>
      </w:r>
    </w:p>
    <w:p w14:paraId="0BC57979" w14:textId="77777777" w:rsidR="006250EE" w:rsidRDefault="006250EE" w:rsidP="00FF05C6">
      <w:pPr>
        <w:autoSpaceDE w:val="0"/>
        <w:autoSpaceDN w:val="0"/>
        <w:adjustRightInd w:val="0"/>
        <w:jc w:val="center"/>
        <w:rPr>
          <w:rFonts w:ascii="Arial Narrow" w:hAnsi="Arial Narrow"/>
          <w:b/>
          <w:sz w:val="21"/>
          <w:szCs w:val="21"/>
        </w:rPr>
      </w:pPr>
      <w:r>
        <w:rPr>
          <w:rFonts w:ascii="Arial Narrow" w:hAnsi="Arial Narrow"/>
          <w:b/>
          <w:sz w:val="21"/>
          <w:szCs w:val="21"/>
        </w:rPr>
        <w:t>LUISA SALETE ZAGO CORSO</w:t>
      </w:r>
    </w:p>
    <w:p w14:paraId="1F4FDAFA" w14:textId="67C8572E"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1A1437">
        <w:rPr>
          <w:rFonts w:ascii="Arial Narrow" w:hAnsi="Arial Narrow" w:cs="Arial"/>
          <w:b/>
          <w:bCs/>
          <w:sz w:val="21"/>
          <w:szCs w:val="21"/>
        </w:rPr>
        <w:t>5</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6250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6250EE" w:rsidP="00DC30E5">
          <w:pPr>
            <w:pStyle w:val="Cabealho"/>
            <w:rPr>
              <w:rFonts w:ascii="Arial Narrow" w:hAnsi="Arial Narrow"/>
              <w:sz w:val="24"/>
              <w:szCs w:val="24"/>
            </w:rPr>
          </w:pPr>
        </w:p>
      </w:tc>
    </w:tr>
  </w:tbl>
  <w:p w14:paraId="588B156A" w14:textId="77777777" w:rsidR="008351D6" w:rsidRDefault="006250EE"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37AB8"/>
    <w:rsid w:val="00042065"/>
    <w:rsid w:val="00047545"/>
    <w:rsid w:val="0005734B"/>
    <w:rsid w:val="00067284"/>
    <w:rsid w:val="0008479D"/>
    <w:rsid w:val="00085C36"/>
    <w:rsid w:val="00097B8F"/>
    <w:rsid w:val="000C2188"/>
    <w:rsid w:val="000C67D2"/>
    <w:rsid w:val="000C7BFC"/>
    <w:rsid w:val="000D0EB0"/>
    <w:rsid w:val="000D1D8F"/>
    <w:rsid w:val="000D5866"/>
    <w:rsid w:val="0010483D"/>
    <w:rsid w:val="00104AC2"/>
    <w:rsid w:val="00107DEA"/>
    <w:rsid w:val="0011466E"/>
    <w:rsid w:val="001160D5"/>
    <w:rsid w:val="00116155"/>
    <w:rsid w:val="00120B84"/>
    <w:rsid w:val="001222FC"/>
    <w:rsid w:val="00130FEA"/>
    <w:rsid w:val="0013303C"/>
    <w:rsid w:val="001370C4"/>
    <w:rsid w:val="00165D0E"/>
    <w:rsid w:val="00166104"/>
    <w:rsid w:val="001679DC"/>
    <w:rsid w:val="00171B22"/>
    <w:rsid w:val="00172677"/>
    <w:rsid w:val="00175871"/>
    <w:rsid w:val="0018145D"/>
    <w:rsid w:val="0018171F"/>
    <w:rsid w:val="00187C16"/>
    <w:rsid w:val="00194789"/>
    <w:rsid w:val="001A1437"/>
    <w:rsid w:val="001A1B7E"/>
    <w:rsid w:val="001A5FDC"/>
    <w:rsid w:val="001C328A"/>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65E60"/>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171E8"/>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80A8D"/>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50EE"/>
    <w:rsid w:val="00626C80"/>
    <w:rsid w:val="00635E61"/>
    <w:rsid w:val="00636354"/>
    <w:rsid w:val="00641AB0"/>
    <w:rsid w:val="0064675E"/>
    <w:rsid w:val="00650F2F"/>
    <w:rsid w:val="00661335"/>
    <w:rsid w:val="006770C0"/>
    <w:rsid w:val="00680154"/>
    <w:rsid w:val="006A1E88"/>
    <w:rsid w:val="006A5BDA"/>
    <w:rsid w:val="006B7553"/>
    <w:rsid w:val="006C14DA"/>
    <w:rsid w:val="006C39D2"/>
    <w:rsid w:val="006C7108"/>
    <w:rsid w:val="006E77EB"/>
    <w:rsid w:val="006F28FE"/>
    <w:rsid w:val="00720D83"/>
    <w:rsid w:val="007243C6"/>
    <w:rsid w:val="0072641B"/>
    <w:rsid w:val="00731F32"/>
    <w:rsid w:val="007336D4"/>
    <w:rsid w:val="00734E26"/>
    <w:rsid w:val="00762F7E"/>
    <w:rsid w:val="00763248"/>
    <w:rsid w:val="00776106"/>
    <w:rsid w:val="007832DA"/>
    <w:rsid w:val="0078421B"/>
    <w:rsid w:val="00785C66"/>
    <w:rsid w:val="007A4E7A"/>
    <w:rsid w:val="007A6C1C"/>
    <w:rsid w:val="007B2F58"/>
    <w:rsid w:val="007E6DC8"/>
    <w:rsid w:val="00835AEF"/>
    <w:rsid w:val="00840E67"/>
    <w:rsid w:val="008445CA"/>
    <w:rsid w:val="00847A19"/>
    <w:rsid w:val="008546E7"/>
    <w:rsid w:val="008572A3"/>
    <w:rsid w:val="00865D3E"/>
    <w:rsid w:val="008740E7"/>
    <w:rsid w:val="00892FF3"/>
    <w:rsid w:val="008A5E8D"/>
    <w:rsid w:val="008B7B5A"/>
    <w:rsid w:val="008C28EE"/>
    <w:rsid w:val="008F32CB"/>
    <w:rsid w:val="00916141"/>
    <w:rsid w:val="00940DF8"/>
    <w:rsid w:val="00947D34"/>
    <w:rsid w:val="009524BB"/>
    <w:rsid w:val="0096633F"/>
    <w:rsid w:val="009669AD"/>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8357C"/>
    <w:rsid w:val="00A928B5"/>
    <w:rsid w:val="00AB1936"/>
    <w:rsid w:val="00AB3BD7"/>
    <w:rsid w:val="00AD30B0"/>
    <w:rsid w:val="00AD5FD7"/>
    <w:rsid w:val="00AE4F78"/>
    <w:rsid w:val="00AE5FCE"/>
    <w:rsid w:val="00B108A2"/>
    <w:rsid w:val="00B10924"/>
    <w:rsid w:val="00B32CF2"/>
    <w:rsid w:val="00B45AF1"/>
    <w:rsid w:val="00B5452F"/>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25DBB"/>
    <w:rsid w:val="00C3468F"/>
    <w:rsid w:val="00C360D5"/>
    <w:rsid w:val="00C5368C"/>
    <w:rsid w:val="00C7606F"/>
    <w:rsid w:val="00C778A8"/>
    <w:rsid w:val="00C83371"/>
    <w:rsid w:val="00C842F0"/>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C0D0B"/>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D462E"/>
    <w:rsid w:val="00EF1359"/>
    <w:rsid w:val="00EF72DA"/>
    <w:rsid w:val="00F0358D"/>
    <w:rsid w:val="00F25D41"/>
    <w:rsid w:val="00F57BD0"/>
    <w:rsid w:val="00F71A3A"/>
    <w:rsid w:val="00F76B45"/>
    <w:rsid w:val="00F971FB"/>
    <w:rsid w:val="00FA7915"/>
    <w:rsid w:val="00FB25F5"/>
    <w:rsid w:val="00FB288C"/>
    <w:rsid w:val="00FB5102"/>
    <w:rsid w:val="00FD1837"/>
    <w:rsid w:val="00FE01B0"/>
    <w:rsid w:val="00FF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1371">
      <w:bodyDiv w:val="1"/>
      <w:marLeft w:val="0"/>
      <w:marRight w:val="0"/>
      <w:marTop w:val="0"/>
      <w:marBottom w:val="0"/>
      <w:divBdr>
        <w:top w:val="none" w:sz="0" w:space="0" w:color="auto"/>
        <w:left w:val="none" w:sz="0" w:space="0" w:color="auto"/>
        <w:bottom w:val="none" w:sz="0" w:space="0" w:color="auto"/>
        <w:right w:val="none" w:sz="0" w:space="0" w:color="auto"/>
      </w:divBdr>
    </w:div>
    <w:div w:id="1480224680">
      <w:bodyDiv w:val="1"/>
      <w:marLeft w:val="0"/>
      <w:marRight w:val="0"/>
      <w:marTop w:val="0"/>
      <w:marBottom w:val="0"/>
      <w:divBdr>
        <w:top w:val="none" w:sz="0" w:space="0" w:color="auto"/>
        <w:left w:val="none" w:sz="0" w:space="0" w:color="auto"/>
        <w:bottom w:val="none" w:sz="0" w:space="0" w:color="auto"/>
        <w:right w:val="none" w:sz="0" w:space="0" w:color="auto"/>
      </w:divBdr>
    </w:div>
    <w:div w:id="1662388064">
      <w:bodyDiv w:val="1"/>
      <w:marLeft w:val="0"/>
      <w:marRight w:val="0"/>
      <w:marTop w:val="0"/>
      <w:marBottom w:val="0"/>
      <w:divBdr>
        <w:top w:val="none" w:sz="0" w:space="0" w:color="auto"/>
        <w:left w:val="none" w:sz="0" w:space="0" w:color="auto"/>
        <w:bottom w:val="none" w:sz="0" w:space="0" w:color="auto"/>
        <w:right w:val="none" w:sz="0" w:space="0" w:color="auto"/>
      </w:divBdr>
    </w:div>
    <w:div w:id="19826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9</Pages>
  <Words>4355</Words>
  <Characters>23519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392</cp:revision>
  <cp:lastPrinted>2020-12-03T21:12:00Z</cp:lastPrinted>
  <dcterms:created xsi:type="dcterms:W3CDTF">2020-12-03T19:57:00Z</dcterms:created>
  <dcterms:modified xsi:type="dcterms:W3CDTF">2022-07-14T16:57:00Z</dcterms:modified>
</cp:coreProperties>
</file>