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1A0D0792"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092</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5E0AF415"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96633F">
        <w:rPr>
          <w:rFonts w:ascii="Arial Narrow" w:hAnsi="Arial Narrow" w:cs="Arial"/>
          <w:sz w:val="21"/>
          <w:szCs w:val="21"/>
        </w:rPr>
        <w:t>3</w:t>
      </w:r>
      <w:r>
        <w:rPr>
          <w:rFonts w:ascii="Arial Narrow" w:hAnsi="Arial Narrow" w:cs="Arial"/>
          <w:sz w:val="21"/>
          <w:szCs w:val="21"/>
        </w:rPr>
        <w:t xml:space="preserve"> (</w:t>
      </w:r>
      <w:r w:rsidR="00940DF8">
        <w:rPr>
          <w:rFonts w:ascii="Arial Narrow" w:hAnsi="Arial Narrow" w:cs="Arial"/>
          <w:sz w:val="21"/>
          <w:szCs w:val="21"/>
        </w:rPr>
        <w:t>treze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067BDFDE"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763248">
        <w:rPr>
          <w:rFonts w:ascii="Arial Narrow" w:hAnsi="Arial Narrow"/>
          <w:b/>
          <w:color w:val="000000"/>
          <w:sz w:val="21"/>
          <w:szCs w:val="21"/>
        </w:rPr>
        <w:t>1</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C7606F">
        <w:rPr>
          <w:rFonts w:ascii="Arial Narrow" w:hAnsi="Arial Narrow" w:cs="Arial"/>
          <w:b/>
          <w:sz w:val="21"/>
          <w:szCs w:val="21"/>
        </w:rPr>
        <w:t>CASA DA CUCA LTDA EPP</w:t>
      </w:r>
      <w:r w:rsidR="00CA48E3" w:rsidRPr="00C73F23">
        <w:rPr>
          <w:rFonts w:ascii="Arial Narrow" w:hAnsi="Arial Narrow" w:cs="Arial"/>
          <w:bCs/>
          <w:sz w:val="21"/>
          <w:szCs w:val="21"/>
        </w:rPr>
        <w:t xml:space="preserve">, inscrita no CNPJ sob o nº </w:t>
      </w:r>
      <w:r w:rsidR="0099335F">
        <w:rPr>
          <w:rFonts w:ascii="Arial Narrow" w:hAnsi="Arial Narrow" w:cs="Arial"/>
          <w:bCs/>
          <w:sz w:val="21"/>
          <w:szCs w:val="21"/>
        </w:rPr>
        <w:t>0</w:t>
      </w:r>
      <w:r w:rsidR="00C7606F">
        <w:rPr>
          <w:rFonts w:ascii="Arial Narrow" w:hAnsi="Arial Narrow" w:cs="Arial"/>
          <w:bCs/>
          <w:sz w:val="21"/>
          <w:szCs w:val="21"/>
        </w:rPr>
        <w:t>9</w:t>
      </w:r>
      <w:r w:rsidR="00CA48E3" w:rsidRPr="00E440B5">
        <w:rPr>
          <w:rFonts w:ascii="Arial Narrow" w:hAnsi="Arial Narrow" w:cs="Arial"/>
          <w:bCs/>
          <w:sz w:val="21"/>
          <w:szCs w:val="21"/>
        </w:rPr>
        <w:t>.</w:t>
      </w:r>
      <w:r w:rsidR="00C7606F">
        <w:rPr>
          <w:rFonts w:ascii="Arial Narrow" w:hAnsi="Arial Narrow" w:cs="Arial"/>
          <w:bCs/>
          <w:sz w:val="21"/>
          <w:szCs w:val="21"/>
        </w:rPr>
        <w:t>037</w:t>
      </w:r>
      <w:r w:rsidR="00CA48E3" w:rsidRPr="00E440B5">
        <w:rPr>
          <w:rFonts w:ascii="Arial Narrow" w:hAnsi="Arial Narrow" w:cs="Arial"/>
          <w:bCs/>
          <w:sz w:val="21"/>
          <w:szCs w:val="21"/>
        </w:rPr>
        <w:t>.</w:t>
      </w:r>
      <w:r w:rsidR="00C7606F">
        <w:rPr>
          <w:rFonts w:ascii="Arial Narrow" w:hAnsi="Arial Narrow" w:cs="Arial"/>
          <w:bCs/>
          <w:sz w:val="21"/>
          <w:szCs w:val="21"/>
        </w:rPr>
        <w:t>537</w:t>
      </w:r>
      <w:r w:rsidR="00CA48E3" w:rsidRPr="00E440B5">
        <w:rPr>
          <w:rFonts w:ascii="Arial Narrow" w:hAnsi="Arial Narrow" w:cs="Arial"/>
          <w:bCs/>
          <w:sz w:val="21"/>
          <w:szCs w:val="21"/>
        </w:rPr>
        <w:t>/0001-</w:t>
      </w:r>
      <w:r w:rsidR="00C7606F">
        <w:rPr>
          <w:rFonts w:ascii="Arial Narrow" w:hAnsi="Arial Narrow" w:cs="Arial"/>
          <w:bCs/>
          <w:sz w:val="21"/>
          <w:szCs w:val="21"/>
        </w:rPr>
        <w:t>0</w:t>
      </w:r>
      <w:r w:rsidR="0099335F">
        <w:rPr>
          <w:rFonts w:ascii="Arial Narrow" w:hAnsi="Arial Narrow" w:cs="Arial"/>
          <w:bCs/>
          <w:sz w:val="21"/>
          <w:szCs w:val="21"/>
        </w:rPr>
        <w:t>9</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276E44">
        <w:rPr>
          <w:rFonts w:ascii="Arial Narrow" w:hAnsi="Arial Narrow" w:cs="Arial"/>
          <w:bCs/>
          <w:sz w:val="21"/>
          <w:szCs w:val="21"/>
        </w:rPr>
        <w:t xml:space="preserve">Avenida Gustavo </w:t>
      </w:r>
      <w:proofErr w:type="spellStart"/>
      <w:r w:rsidR="00276E44">
        <w:rPr>
          <w:rFonts w:ascii="Arial Narrow" w:hAnsi="Arial Narrow" w:cs="Arial"/>
          <w:bCs/>
          <w:sz w:val="21"/>
          <w:szCs w:val="21"/>
        </w:rPr>
        <w:t>Fetter</w:t>
      </w:r>
      <w:proofErr w:type="spellEnd"/>
      <w:r w:rsidR="00CA48E3">
        <w:rPr>
          <w:rFonts w:ascii="Arial Narrow" w:hAnsi="Arial Narrow" w:cs="Arial"/>
          <w:bCs/>
          <w:sz w:val="21"/>
          <w:szCs w:val="21"/>
        </w:rPr>
        <w:t xml:space="preserve">, nº </w:t>
      </w:r>
      <w:r w:rsidR="00276E44">
        <w:rPr>
          <w:rFonts w:ascii="Arial Narrow" w:hAnsi="Arial Narrow" w:cs="Arial"/>
          <w:bCs/>
          <w:sz w:val="21"/>
          <w:szCs w:val="21"/>
        </w:rPr>
        <w:t>3233</w:t>
      </w:r>
      <w:r w:rsidR="00CA48E3">
        <w:rPr>
          <w:rFonts w:ascii="Arial Narrow" w:hAnsi="Arial Narrow" w:cs="Arial"/>
          <w:bCs/>
          <w:sz w:val="21"/>
          <w:szCs w:val="21"/>
        </w:rPr>
        <w:t>,</w:t>
      </w:r>
      <w:r w:rsidR="00D065D5">
        <w:rPr>
          <w:rFonts w:ascii="Arial Narrow" w:hAnsi="Arial Narrow" w:cs="Arial"/>
          <w:bCs/>
          <w:sz w:val="21"/>
          <w:szCs w:val="21"/>
        </w:rPr>
        <w:t xml:space="preserve"> Centro</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276E44">
        <w:rPr>
          <w:rFonts w:ascii="Arial Narrow" w:hAnsi="Arial Narrow" w:cs="Arial"/>
          <w:bCs/>
          <w:sz w:val="21"/>
          <w:szCs w:val="21"/>
        </w:rPr>
        <w:t>Iporã do Oeste</w:t>
      </w:r>
      <w:r w:rsidR="00CA48E3">
        <w:rPr>
          <w:rFonts w:ascii="Arial Narrow" w:hAnsi="Arial Narrow" w:cs="Arial"/>
          <w:bCs/>
          <w:sz w:val="21"/>
          <w:szCs w:val="21"/>
        </w:rPr>
        <w:t>/</w:t>
      </w:r>
      <w:r w:rsidR="0099335F">
        <w:rPr>
          <w:rFonts w:ascii="Arial Narrow" w:hAnsi="Arial Narrow" w:cs="Arial"/>
          <w:bCs/>
          <w:sz w:val="21"/>
          <w:szCs w:val="21"/>
        </w:rPr>
        <w:t>SC</w:t>
      </w:r>
      <w:r w:rsidR="00CA48E3" w:rsidRPr="00C73F23">
        <w:rPr>
          <w:rFonts w:ascii="Arial Narrow" w:hAnsi="Arial Narrow" w:cs="Arial"/>
          <w:bCs/>
          <w:sz w:val="21"/>
          <w:szCs w:val="21"/>
        </w:rPr>
        <w:t>,</w:t>
      </w:r>
      <w:r w:rsidR="00CA48E3">
        <w:rPr>
          <w:rFonts w:ascii="Arial Narrow" w:hAnsi="Arial Narrow" w:cs="Arial"/>
          <w:bCs/>
          <w:sz w:val="21"/>
          <w:szCs w:val="21"/>
        </w:rPr>
        <w:t xml:space="preserve"> CEP: </w:t>
      </w:r>
      <w:r w:rsidR="0099335F">
        <w:rPr>
          <w:rFonts w:ascii="Arial Narrow" w:hAnsi="Arial Narrow" w:cs="Arial"/>
          <w:bCs/>
          <w:sz w:val="21"/>
          <w:szCs w:val="21"/>
        </w:rPr>
        <w:t>89</w:t>
      </w:r>
      <w:r w:rsidR="00D065D5">
        <w:rPr>
          <w:rFonts w:ascii="Arial Narrow" w:hAnsi="Arial Narrow" w:cs="Arial"/>
          <w:bCs/>
          <w:sz w:val="21"/>
          <w:szCs w:val="21"/>
        </w:rPr>
        <w:t>.</w:t>
      </w:r>
      <w:r w:rsidR="00276E44">
        <w:rPr>
          <w:rFonts w:ascii="Arial Narrow" w:hAnsi="Arial Narrow" w:cs="Arial"/>
          <w:bCs/>
          <w:sz w:val="21"/>
          <w:szCs w:val="21"/>
        </w:rPr>
        <w:t>899</w:t>
      </w:r>
      <w:r w:rsidR="00CA48E3">
        <w:rPr>
          <w:rFonts w:ascii="Arial Narrow" w:hAnsi="Arial Narrow" w:cs="Arial"/>
          <w:bCs/>
          <w:sz w:val="21"/>
          <w:szCs w:val="21"/>
        </w:rPr>
        <w:t>-</w:t>
      </w:r>
      <w:r w:rsidR="000D5866">
        <w:rPr>
          <w:rFonts w:ascii="Arial Narrow" w:hAnsi="Arial Narrow" w:cs="Arial"/>
          <w:bCs/>
          <w:sz w:val="21"/>
          <w:szCs w:val="21"/>
        </w:rPr>
        <w:t>00</w:t>
      </w:r>
      <w:r w:rsidR="00CA48E3">
        <w:rPr>
          <w:rFonts w:ascii="Arial Narrow" w:hAnsi="Arial Narrow" w:cs="Arial"/>
          <w:bCs/>
          <w:sz w:val="21"/>
          <w:szCs w:val="21"/>
        </w:rPr>
        <w:t>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276E44">
        <w:rPr>
          <w:rFonts w:ascii="Arial Narrow" w:hAnsi="Arial Narrow" w:cs="Arial"/>
          <w:b/>
          <w:sz w:val="21"/>
          <w:szCs w:val="21"/>
        </w:rPr>
        <w:t>GILBERTO</w:t>
      </w:r>
      <w:r w:rsidR="0099335F">
        <w:rPr>
          <w:rFonts w:ascii="Arial Narrow" w:hAnsi="Arial Narrow" w:cs="Arial"/>
          <w:b/>
          <w:sz w:val="21"/>
          <w:szCs w:val="21"/>
        </w:rPr>
        <w:t xml:space="preserve"> </w:t>
      </w:r>
      <w:r w:rsidR="00276E44">
        <w:rPr>
          <w:rFonts w:ascii="Arial Narrow" w:hAnsi="Arial Narrow" w:cs="Arial"/>
          <w:b/>
          <w:sz w:val="21"/>
          <w:szCs w:val="21"/>
        </w:rPr>
        <w:t>SCHNEIDER</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276E44">
        <w:rPr>
          <w:rFonts w:ascii="Arial Narrow" w:hAnsi="Arial Narrow" w:cs="Arial"/>
          <w:bCs/>
          <w:sz w:val="21"/>
          <w:szCs w:val="21"/>
        </w:rPr>
        <w:t>2</w:t>
      </w:r>
      <w:r w:rsidR="0099335F">
        <w:rPr>
          <w:rFonts w:ascii="Arial Narrow" w:hAnsi="Arial Narrow" w:cs="Arial"/>
          <w:bCs/>
          <w:sz w:val="21"/>
          <w:szCs w:val="21"/>
        </w:rPr>
        <w:t>.</w:t>
      </w:r>
      <w:r w:rsidR="00276E44">
        <w:rPr>
          <w:rFonts w:ascii="Arial Narrow" w:hAnsi="Arial Narrow" w:cs="Arial"/>
          <w:bCs/>
          <w:sz w:val="21"/>
          <w:szCs w:val="21"/>
        </w:rPr>
        <w:t>645.389</w:t>
      </w:r>
      <w:r w:rsidR="00165D0E">
        <w:rPr>
          <w:rFonts w:ascii="Arial Narrow" w:hAnsi="Arial Narrow" w:cs="Arial"/>
          <w:bCs/>
          <w:sz w:val="21"/>
          <w:szCs w:val="21"/>
        </w:rPr>
        <w:t>,</w:t>
      </w:r>
      <w:r w:rsidR="00CA48E3" w:rsidRPr="00C73F23">
        <w:rPr>
          <w:rFonts w:ascii="Arial Narrow" w:hAnsi="Arial Narrow" w:cs="Arial"/>
          <w:bCs/>
          <w:sz w:val="21"/>
          <w:szCs w:val="21"/>
        </w:rPr>
        <w:t xml:space="preserve"> </w:t>
      </w:r>
      <w:r w:rsidR="006C39D2">
        <w:rPr>
          <w:rFonts w:ascii="Arial Narrow" w:hAnsi="Arial Narrow" w:cs="Arial"/>
          <w:bCs/>
          <w:sz w:val="21"/>
          <w:szCs w:val="21"/>
        </w:rPr>
        <w:t>SSP</w:t>
      </w:r>
      <w:r w:rsidR="00CA48E3" w:rsidRPr="00C73F23">
        <w:rPr>
          <w:rFonts w:ascii="Arial Narrow" w:hAnsi="Arial Narrow" w:cs="Arial"/>
          <w:bCs/>
          <w:sz w:val="21"/>
          <w:szCs w:val="21"/>
        </w:rPr>
        <w:t>/</w:t>
      </w:r>
      <w:r w:rsidR="0099335F">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276E44">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276E44">
        <w:rPr>
          <w:rFonts w:ascii="Arial Narrow" w:hAnsi="Arial Narrow" w:cs="Arial"/>
          <w:bCs/>
          <w:sz w:val="21"/>
          <w:szCs w:val="21"/>
        </w:rPr>
        <w:t>812</w:t>
      </w:r>
      <w:r w:rsidR="00CA48E3" w:rsidRPr="00C73F23">
        <w:rPr>
          <w:rFonts w:ascii="Arial Narrow" w:hAnsi="Arial Narrow" w:cs="Arial"/>
          <w:bCs/>
          <w:sz w:val="21"/>
          <w:szCs w:val="21"/>
        </w:rPr>
        <w:t>.</w:t>
      </w:r>
      <w:r w:rsidR="00276E44">
        <w:rPr>
          <w:rFonts w:ascii="Arial Narrow" w:hAnsi="Arial Narrow" w:cs="Arial"/>
          <w:bCs/>
          <w:sz w:val="21"/>
          <w:szCs w:val="21"/>
        </w:rPr>
        <w:t>006</w:t>
      </w:r>
      <w:r w:rsidR="00CA48E3" w:rsidRPr="00C73F23">
        <w:rPr>
          <w:rFonts w:ascii="Arial Narrow" w:hAnsi="Arial Narrow" w:cs="Arial"/>
          <w:bCs/>
          <w:sz w:val="21"/>
          <w:szCs w:val="21"/>
        </w:rPr>
        <w:t>.</w:t>
      </w:r>
      <w:r w:rsidR="0099335F">
        <w:rPr>
          <w:rFonts w:ascii="Arial Narrow" w:hAnsi="Arial Narrow" w:cs="Arial"/>
          <w:bCs/>
          <w:sz w:val="21"/>
          <w:szCs w:val="21"/>
        </w:rPr>
        <w:t>9</w:t>
      </w:r>
      <w:r w:rsidR="00276E44">
        <w:rPr>
          <w:rFonts w:ascii="Arial Narrow" w:hAnsi="Arial Narrow" w:cs="Arial"/>
          <w:bCs/>
          <w:sz w:val="21"/>
          <w:szCs w:val="21"/>
        </w:rPr>
        <w:t>2</w:t>
      </w:r>
      <w:r w:rsidR="0099335F">
        <w:rPr>
          <w:rFonts w:ascii="Arial Narrow" w:hAnsi="Arial Narrow" w:cs="Arial"/>
          <w:bCs/>
          <w:sz w:val="21"/>
          <w:szCs w:val="21"/>
        </w:rPr>
        <w:t>9</w:t>
      </w:r>
      <w:r w:rsidR="00CA48E3" w:rsidRPr="00C73F23">
        <w:rPr>
          <w:rFonts w:ascii="Arial Narrow" w:hAnsi="Arial Narrow" w:cs="Arial"/>
          <w:bCs/>
          <w:sz w:val="21"/>
          <w:szCs w:val="21"/>
        </w:rPr>
        <w:t>-</w:t>
      </w:r>
      <w:r w:rsidR="00276E44">
        <w:rPr>
          <w:rFonts w:ascii="Arial Narrow" w:hAnsi="Arial Narrow" w:cs="Arial"/>
          <w:bCs/>
          <w:sz w:val="21"/>
          <w:szCs w:val="21"/>
        </w:rPr>
        <w:t>34</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763248">
        <w:rPr>
          <w:rFonts w:ascii="Arial Narrow" w:hAnsi="Arial Narrow"/>
          <w:b/>
          <w:color w:val="000000"/>
          <w:sz w:val="21"/>
          <w:szCs w:val="21"/>
        </w:rPr>
        <w:t>1</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636354"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127D6AF3" w:rsidR="00636354" w:rsidRPr="00575CC4" w:rsidRDefault="00636354" w:rsidP="00636354">
            <w:pPr>
              <w:jc w:val="center"/>
              <w:rPr>
                <w:rFonts w:ascii="Arial Narrow" w:hAnsi="Arial Narrow" w:cs="Arial"/>
                <w:sz w:val="21"/>
                <w:szCs w:val="21"/>
              </w:rPr>
            </w:pPr>
            <w:r>
              <w:rPr>
                <w:rFonts w:ascii="Arial Narrow" w:hAnsi="Arial Narrow" w:cs="Arial"/>
                <w:sz w:val="21"/>
                <w:szCs w:val="21"/>
              </w:rPr>
              <w:t>22</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7E31CDCE" w:rsidR="00636354" w:rsidRPr="00575CC4" w:rsidRDefault="00636354" w:rsidP="00636354">
            <w:pPr>
              <w:jc w:val="center"/>
              <w:rPr>
                <w:rFonts w:ascii="Arial Narrow" w:hAnsi="Arial Narrow" w:cs="Arial"/>
                <w:sz w:val="21"/>
                <w:szCs w:val="21"/>
              </w:rPr>
            </w:pPr>
            <w:r>
              <w:rPr>
                <w:rFonts w:ascii="Arial Narrow" w:hAnsi="Arial Narrow" w:cs="Arial"/>
                <w:sz w:val="21"/>
                <w:szCs w:val="21"/>
              </w:rPr>
              <w:t>700,00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1388A908" w:rsidR="00636354" w:rsidRPr="00575CC4" w:rsidRDefault="00636354" w:rsidP="00636354">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6F2D7EB7" w:rsidR="00636354" w:rsidRPr="00575CC4" w:rsidRDefault="00636354" w:rsidP="00636354">
            <w:pPr>
              <w:jc w:val="both"/>
              <w:rPr>
                <w:rFonts w:ascii="Arial Narrow" w:hAnsi="Arial Narrow"/>
                <w:sz w:val="21"/>
                <w:szCs w:val="21"/>
              </w:rPr>
            </w:pPr>
            <w:r w:rsidRPr="004B348D">
              <w:rPr>
                <w:rFonts w:ascii="Arial Narrow" w:hAnsi="Arial Narrow"/>
                <w:sz w:val="21"/>
                <w:szCs w:val="21"/>
              </w:rPr>
              <w:t>BISCOITO DE POLVILHO, tipo rosquinha, sem conservantes. Ingredientes: polvilho, gordura vegetal, ovos, leite e sal. Acondicionado em embalagem plástica atóxica contendo 80g.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2D4A7486" w:rsidR="00636354" w:rsidRPr="00575CC4" w:rsidRDefault="00636354"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2536224E" w:rsidR="00636354" w:rsidRPr="00575CC4" w:rsidRDefault="00636354"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2.093,00</w:t>
            </w:r>
          </w:p>
        </w:tc>
      </w:tr>
      <w:tr w:rsidR="00636354"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7845DE11" w:rsidR="00636354" w:rsidRDefault="00636354" w:rsidP="00636354">
            <w:pPr>
              <w:jc w:val="center"/>
              <w:rPr>
                <w:rFonts w:ascii="Arial Narrow" w:hAnsi="Arial Narrow" w:cs="Arial"/>
                <w:sz w:val="21"/>
                <w:szCs w:val="21"/>
              </w:rPr>
            </w:pPr>
            <w:r>
              <w:rPr>
                <w:rFonts w:ascii="Arial Narrow" w:hAnsi="Arial Narrow" w:cs="Arial"/>
                <w:sz w:val="21"/>
                <w:szCs w:val="21"/>
              </w:rPr>
              <w:t>23</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0BF7AB21" w:rsidR="00636354" w:rsidRDefault="00636354" w:rsidP="00636354">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65351E52" w:rsidR="00636354" w:rsidRDefault="00636354" w:rsidP="00636354">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3F63140A" w:rsidR="00636354" w:rsidRPr="003F63E0" w:rsidRDefault="00636354" w:rsidP="00636354">
            <w:pPr>
              <w:jc w:val="both"/>
              <w:rPr>
                <w:rFonts w:ascii="Arial Narrow" w:hAnsi="Arial Narrow" w:cs="Arial"/>
                <w:sz w:val="21"/>
                <w:szCs w:val="21"/>
              </w:rPr>
            </w:pPr>
            <w:r w:rsidRPr="004B348D">
              <w:rPr>
                <w:rFonts w:ascii="Arial Narrow" w:hAnsi="Arial Narrow"/>
                <w:sz w:val="21"/>
                <w:szCs w:val="21"/>
              </w:rPr>
              <w:t>BISCOITO DOCE SEM AÇÚCAR, Adoçado com mix de frutas, sem açúcar ou adoçante. Ingredientes: amido de milho, batata doce, gordura vegetal, fécula de mandioca, frutas, água, bicarbonato de amônia, lectina de soja, fermento químico. Acondicionado em embalagem plástica atóxica contendo 120 a 150g.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1F0B1537" w:rsidR="00636354" w:rsidRDefault="00636354"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5,98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28E902D5" w:rsidR="00636354" w:rsidRDefault="00636354" w:rsidP="00636354">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897,00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8991A51"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763248">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636354">
        <w:rPr>
          <w:rFonts w:ascii="Arial Narrow" w:hAnsi="Arial Narrow" w:cs="Arial"/>
          <w:b/>
          <w:bCs/>
          <w:sz w:val="21"/>
          <w:szCs w:val="21"/>
        </w:rPr>
        <w:t>2.990</w:t>
      </w:r>
      <w:r w:rsidR="004311F8">
        <w:rPr>
          <w:rFonts w:ascii="Arial Narrow" w:hAnsi="Arial Narrow" w:cs="Arial"/>
          <w:b/>
          <w:bCs/>
          <w:sz w:val="21"/>
          <w:szCs w:val="21"/>
        </w:rPr>
        <w:t>,00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636354">
        <w:rPr>
          <w:rFonts w:ascii="Arial Narrow" w:hAnsi="Arial Narrow" w:cs="Arial"/>
          <w:b/>
          <w:bCs/>
          <w:sz w:val="21"/>
          <w:szCs w:val="21"/>
        </w:rPr>
        <w:t>dois</w:t>
      </w:r>
      <w:r w:rsidR="008740E7">
        <w:rPr>
          <w:rFonts w:ascii="Arial Narrow" w:hAnsi="Arial Narrow" w:cs="Arial"/>
          <w:b/>
          <w:bCs/>
          <w:sz w:val="21"/>
          <w:szCs w:val="21"/>
        </w:rPr>
        <w:t xml:space="preserve"> mil, </w:t>
      </w:r>
      <w:r w:rsidR="00636354">
        <w:rPr>
          <w:rFonts w:ascii="Arial Narrow" w:hAnsi="Arial Narrow" w:cs="Arial"/>
          <w:b/>
          <w:bCs/>
          <w:sz w:val="21"/>
          <w:szCs w:val="21"/>
        </w:rPr>
        <w:t>novecentos</w:t>
      </w:r>
      <w:r w:rsidR="008740E7">
        <w:rPr>
          <w:rFonts w:ascii="Arial Narrow" w:hAnsi="Arial Narrow" w:cs="Arial"/>
          <w:b/>
          <w:bCs/>
          <w:sz w:val="21"/>
          <w:szCs w:val="21"/>
        </w:rPr>
        <w:t xml:space="preserve"> e </w:t>
      </w:r>
      <w:r w:rsidR="00636354">
        <w:rPr>
          <w:rFonts w:ascii="Arial Narrow" w:hAnsi="Arial Narrow" w:cs="Arial"/>
          <w:b/>
          <w:bCs/>
          <w:sz w:val="21"/>
          <w:szCs w:val="21"/>
        </w:rPr>
        <w:t>noventa</w:t>
      </w:r>
      <w:r w:rsidR="00D42B2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lastRenderedPageBreak/>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 xml:space="preserve">enviado, quando na ocasião do recebimento, for constatado que </w:t>
      </w:r>
      <w:proofErr w:type="gramStart"/>
      <w:r w:rsidR="00B108A2" w:rsidRPr="00E35AFA">
        <w:rPr>
          <w:rFonts w:ascii="Arial Narrow" w:hAnsi="Arial Narrow"/>
          <w:b/>
          <w:sz w:val="21"/>
          <w:szCs w:val="21"/>
        </w:rPr>
        <w:t>encontra-se</w:t>
      </w:r>
      <w:proofErr w:type="gramEnd"/>
      <w:r w:rsidR="00B108A2"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 xml:space="preserve">Tainá </w:t>
      </w:r>
      <w:proofErr w:type="spellStart"/>
      <w:r w:rsidRPr="00A247D4">
        <w:rPr>
          <w:rFonts w:ascii="Arial Narrow" w:hAnsi="Arial Narrow"/>
          <w:i/>
          <w:sz w:val="21"/>
          <w:szCs w:val="21"/>
        </w:rPr>
        <w:t>Tessari</w:t>
      </w:r>
      <w:proofErr w:type="spellEnd"/>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lastRenderedPageBreak/>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proofErr w:type="spellStart"/>
      <w:r w:rsidR="00175871">
        <w:rPr>
          <w:rFonts w:ascii="Arial Narrow" w:hAnsi="Arial Narrow"/>
          <w:sz w:val="21"/>
          <w:szCs w:val="21"/>
        </w:rPr>
        <w:t>is</w:t>
      </w:r>
      <w:proofErr w:type="spellEnd"/>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xml:space="preserve">. Quando o preço de mercado </w:t>
      </w:r>
      <w:proofErr w:type="gramStart"/>
      <w:r w:rsidR="00175871" w:rsidRPr="0028453A">
        <w:rPr>
          <w:rFonts w:ascii="Arial Narrow" w:hAnsi="Arial Narrow" w:cs="Arial"/>
          <w:sz w:val="21"/>
          <w:szCs w:val="21"/>
        </w:rPr>
        <w:t>tornar-se</w:t>
      </w:r>
      <w:proofErr w:type="gramEnd"/>
      <w:r w:rsidR="00175871"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w:t>
      </w:r>
      <w:r>
        <w:rPr>
          <w:rFonts w:ascii="Arial Narrow" w:hAnsi="Arial Narrow"/>
          <w:sz w:val="21"/>
          <w:szCs w:val="21"/>
        </w:rPr>
        <w:t xml:space="preserve">.1.1.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w:t>
      </w:r>
      <w:r>
        <w:rPr>
          <w:rFonts w:ascii="Arial Narrow" w:hAnsi="Arial Narrow"/>
          <w:sz w:val="21"/>
          <w:szCs w:val="21"/>
        </w:rPr>
        <w:t>.1.2.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w:t>
      </w:r>
      <w:r>
        <w:rPr>
          <w:rFonts w:ascii="Arial Narrow" w:hAnsi="Arial Narrow"/>
          <w:sz w:val="21"/>
          <w:szCs w:val="21"/>
        </w:rPr>
        <w:t xml:space="preserve">.1.3.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lastRenderedPageBreak/>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w:t>
      </w:r>
      <w:proofErr w:type="spellStart"/>
      <w:r w:rsidR="00175871" w:rsidRPr="0028453A">
        <w:rPr>
          <w:rFonts w:ascii="Arial Narrow" w:hAnsi="Arial Narrow"/>
          <w:sz w:val="21"/>
          <w:szCs w:val="21"/>
          <w:lang w:eastAsia="ar-SA"/>
        </w:rPr>
        <w:t>esta</w:t>
      </w:r>
      <w:proofErr w:type="spellEnd"/>
      <w:r w:rsidR="00175871" w:rsidRPr="0028453A">
        <w:rPr>
          <w:rFonts w:ascii="Arial Narrow" w:hAnsi="Arial Narrow"/>
          <w:sz w:val="21"/>
          <w:szCs w:val="21"/>
          <w:lang w:eastAsia="ar-SA"/>
        </w:rPr>
        <w:t xml:space="preserve">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lastRenderedPageBreak/>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w:t>
            </w:r>
            <w:proofErr w:type="spellStart"/>
            <w:r w:rsidRPr="00924B16">
              <w:rPr>
                <w:rFonts w:ascii="Arial Narrow" w:hAnsi="Arial Narrow"/>
                <w:bCs/>
                <w:i/>
                <w:sz w:val="21"/>
                <w:szCs w:val="21"/>
              </w:rPr>
              <w:t>Pré</w:t>
            </w:r>
            <w:proofErr w:type="spellEnd"/>
            <w:r w:rsidRPr="00924B16">
              <w:rPr>
                <w:rFonts w:ascii="Arial Narrow" w:hAnsi="Arial Narrow"/>
                <w:bCs/>
                <w:i/>
                <w:sz w:val="21"/>
                <w:szCs w:val="21"/>
              </w:rPr>
              <w:t xml:space="preserve">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40D4F1A"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1466E">
        <w:rPr>
          <w:rFonts w:ascii="Arial Narrow" w:hAnsi="Arial Narrow" w:cs="Arial"/>
          <w:sz w:val="21"/>
          <w:szCs w:val="21"/>
        </w:rPr>
        <w:t>3</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8E52ABF" w14:textId="41429983" w:rsidR="00C251EF" w:rsidRDefault="00340FB4"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GILBERTO SCHNEIDER</w:t>
      </w:r>
    </w:p>
    <w:p w14:paraId="663EB75F" w14:textId="77777777" w:rsidR="00340FB4" w:rsidRDefault="00340FB4" w:rsidP="005F06DC">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CASA DA CUCA LTDA EPP</w:t>
      </w:r>
    </w:p>
    <w:p w14:paraId="1F4FDAFA" w14:textId="24EAFED3" w:rsidR="00175871" w:rsidRPr="0028453A" w:rsidRDefault="004F7BE0" w:rsidP="005F06DC">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763248">
        <w:rPr>
          <w:rFonts w:ascii="Arial Narrow" w:hAnsi="Arial Narrow" w:cs="Arial"/>
          <w:b/>
          <w:bCs/>
          <w:sz w:val="21"/>
          <w:szCs w:val="21"/>
        </w:rPr>
        <w:t>1</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B86D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B86DE2" w:rsidP="00DC30E5">
          <w:pPr>
            <w:pStyle w:val="Cabealho"/>
            <w:rPr>
              <w:rFonts w:ascii="Arial Narrow" w:hAnsi="Arial Narrow"/>
              <w:sz w:val="24"/>
              <w:szCs w:val="24"/>
            </w:rPr>
          </w:pPr>
        </w:p>
      </w:tc>
    </w:tr>
  </w:tbl>
  <w:p w14:paraId="588B156A" w14:textId="77777777" w:rsidR="008351D6" w:rsidRDefault="00B86DE2"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42065"/>
    <w:rsid w:val="00047545"/>
    <w:rsid w:val="0005734B"/>
    <w:rsid w:val="00067284"/>
    <w:rsid w:val="0008479D"/>
    <w:rsid w:val="00085C36"/>
    <w:rsid w:val="00097B8F"/>
    <w:rsid w:val="000C2188"/>
    <w:rsid w:val="000C67D2"/>
    <w:rsid w:val="000D1D8F"/>
    <w:rsid w:val="000D5866"/>
    <w:rsid w:val="0010483D"/>
    <w:rsid w:val="00104AC2"/>
    <w:rsid w:val="0011466E"/>
    <w:rsid w:val="001160D5"/>
    <w:rsid w:val="00116155"/>
    <w:rsid w:val="00120B84"/>
    <w:rsid w:val="001222FC"/>
    <w:rsid w:val="0013303C"/>
    <w:rsid w:val="001370C4"/>
    <w:rsid w:val="00165D0E"/>
    <w:rsid w:val="00166104"/>
    <w:rsid w:val="00171B22"/>
    <w:rsid w:val="00172677"/>
    <w:rsid w:val="00175871"/>
    <w:rsid w:val="0018171F"/>
    <w:rsid w:val="00187C16"/>
    <w:rsid w:val="00194789"/>
    <w:rsid w:val="001A1B7E"/>
    <w:rsid w:val="001A5FDC"/>
    <w:rsid w:val="001C328A"/>
    <w:rsid w:val="001C5BC8"/>
    <w:rsid w:val="001C7483"/>
    <w:rsid w:val="001D0EB4"/>
    <w:rsid w:val="001D55DA"/>
    <w:rsid w:val="001E21E0"/>
    <w:rsid w:val="001E50F8"/>
    <w:rsid w:val="001E55CE"/>
    <w:rsid w:val="001F0403"/>
    <w:rsid w:val="00206E08"/>
    <w:rsid w:val="0021464E"/>
    <w:rsid w:val="00227E69"/>
    <w:rsid w:val="00242924"/>
    <w:rsid w:val="002449A1"/>
    <w:rsid w:val="0025167E"/>
    <w:rsid w:val="00275654"/>
    <w:rsid w:val="00276E44"/>
    <w:rsid w:val="002837E6"/>
    <w:rsid w:val="00283963"/>
    <w:rsid w:val="00297F7C"/>
    <w:rsid w:val="002A4206"/>
    <w:rsid w:val="002A7707"/>
    <w:rsid w:val="002B40B9"/>
    <w:rsid w:val="002D102C"/>
    <w:rsid w:val="002D63CF"/>
    <w:rsid w:val="002D6B85"/>
    <w:rsid w:val="002E0BF8"/>
    <w:rsid w:val="002E5DCD"/>
    <w:rsid w:val="002F3135"/>
    <w:rsid w:val="00300257"/>
    <w:rsid w:val="00306417"/>
    <w:rsid w:val="003103E3"/>
    <w:rsid w:val="00312572"/>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5CA4"/>
    <w:rsid w:val="0059634D"/>
    <w:rsid w:val="005A7351"/>
    <w:rsid w:val="005B23F5"/>
    <w:rsid w:val="005B4E24"/>
    <w:rsid w:val="005C6175"/>
    <w:rsid w:val="005D7350"/>
    <w:rsid w:val="005E187F"/>
    <w:rsid w:val="005E63DE"/>
    <w:rsid w:val="005F06DC"/>
    <w:rsid w:val="006054B2"/>
    <w:rsid w:val="00622465"/>
    <w:rsid w:val="00624A53"/>
    <w:rsid w:val="00626C80"/>
    <w:rsid w:val="00635E61"/>
    <w:rsid w:val="00636354"/>
    <w:rsid w:val="00641AB0"/>
    <w:rsid w:val="00650F2F"/>
    <w:rsid w:val="00661335"/>
    <w:rsid w:val="006770C0"/>
    <w:rsid w:val="00680154"/>
    <w:rsid w:val="006A1E88"/>
    <w:rsid w:val="006B7553"/>
    <w:rsid w:val="006C14DA"/>
    <w:rsid w:val="006C39D2"/>
    <w:rsid w:val="006C7108"/>
    <w:rsid w:val="006E77EB"/>
    <w:rsid w:val="006F28FE"/>
    <w:rsid w:val="00720D83"/>
    <w:rsid w:val="007243C6"/>
    <w:rsid w:val="0072641B"/>
    <w:rsid w:val="007336D4"/>
    <w:rsid w:val="00734E26"/>
    <w:rsid w:val="00762F7E"/>
    <w:rsid w:val="00763248"/>
    <w:rsid w:val="00776106"/>
    <w:rsid w:val="007832DA"/>
    <w:rsid w:val="00785C66"/>
    <w:rsid w:val="007A4E7A"/>
    <w:rsid w:val="007A6C1C"/>
    <w:rsid w:val="007B2F58"/>
    <w:rsid w:val="007E6DC8"/>
    <w:rsid w:val="00835AEF"/>
    <w:rsid w:val="00847A19"/>
    <w:rsid w:val="008546E7"/>
    <w:rsid w:val="008572A3"/>
    <w:rsid w:val="00865D3E"/>
    <w:rsid w:val="008740E7"/>
    <w:rsid w:val="008A5E8D"/>
    <w:rsid w:val="008B7B5A"/>
    <w:rsid w:val="008C28EE"/>
    <w:rsid w:val="008F32CB"/>
    <w:rsid w:val="00916141"/>
    <w:rsid w:val="00940DF8"/>
    <w:rsid w:val="00947D34"/>
    <w:rsid w:val="009524BB"/>
    <w:rsid w:val="0096633F"/>
    <w:rsid w:val="00981EAC"/>
    <w:rsid w:val="009905D6"/>
    <w:rsid w:val="0099335F"/>
    <w:rsid w:val="009C655C"/>
    <w:rsid w:val="009F19AB"/>
    <w:rsid w:val="009F735D"/>
    <w:rsid w:val="009F7A23"/>
    <w:rsid w:val="00A00AE9"/>
    <w:rsid w:val="00A0618F"/>
    <w:rsid w:val="00A10CE2"/>
    <w:rsid w:val="00A22767"/>
    <w:rsid w:val="00A232BB"/>
    <w:rsid w:val="00A44839"/>
    <w:rsid w:val="00A53A24"/>
    <w:rsid w:val="00A5496E"/>
    <w:rsid w:val="00A55B32"/>
    <w:rsid w:val="00A6374A"/>
    <w:rsid w:val="00A66481"/>
    <w:rsid w:val="00A928B5"/>
    <w:rsid w:val="00AB1936"/>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4C3"/>
    <w:rsid w:val="00BD0B58"/>
    <w:rsid w:val="00BE41D5"/>
    <w:rsid w:val="00C00DD4"/>
    <w:rsid w:val="00C05978"/>
    <w:rsid w:val="00C251EF"/>
    <w:rsid w:val="00C3468F"/>
    <w:rsid w:val="00C360D5"/>
    <w:rsid w:val="00C5368C"/>
    <w:rsid w:val="00C7606F"/>
    <w:rsid w:val="00C778A8"/>
    <w:rsid w:val="00C83371"/>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929AB"/>
    <w:rsid w:val="00D92BC4"/>
    <w:rsid w:val="00DB2B91"/>
    <w:rsid w:val="00DB5A0F"/>
    <w:rsid w:val="00DE77FD"/>
    <w:rsid w:val="00DF4149"/>
    <w:rsid w:val="00E064F1"/>
    <w:rsid w:val="00E12E01"/>
    <w:rsid w:val="00E14AD7"/>
    <w:rsid w:val="00E42B70"/>
    <w:rsid w:val="00E55DF6"/>
    <w:rsid w:val="00E67EB9"/>
    <w:rsid w:val="00E72B15"/>
    <w:rsid w:val="00E96768"/>
    <w:rsid w:val="00E97DE8"/>
    <w:rsid w:val="00EB3C17"/>
    <w:rsid w:val="00EC65D8"/>
    <w:rsid w:val="00ED17DE"/>
    <w:rsid w:val="00EF1359"/>
    <w:rsid w:val="00EF72DA"/>
    <w:rsid w:val="00F0358D"/>
    <w:rsid w:val="00F25D41"/>
    <w:rsid w:val="00F57BD0"/>
    <w:rsid w:val="00F71A3A"/>
    <w:rsid w:val="00F76B45"/>
    <w:rsid w:val="00F971FB"/>
    <w:rsid w:val="00FA7915"/>
    <w:rsid w:val="00FB25F5"/>
    <w:rsid w:val="00FB288C"/>
    <w:rsid w:val="00FB5102"/>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8</Pages>
  <Words>4057</Words>
  <Characters>21914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352</cp:revision>
  <cp:lastPrinted>2020-12-03T21:12:00Z</cp:lastPrinted>
  <dcterms:created xsi:type="dcterms:W3CDTF">2020-12-03T19:57:00Z</dcterms:created>
  <dcterms:modified xsi:type="dcterms:W3CDTF">2022-07-13T19:34:00Z</dcterms:modified>
</cp:coreProperties>
</file>