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6C5ACB0B"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03</w:t>
      </w:r>
      <w:r w:rsidR="00B55F84">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2BCBABE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E14AD7">
        <w:rPr>
          <w:rFonts w:ascii="Arial Narrow" w:hAnsi="Arial Narrow"/>
          <w:b/>
          <w:sz w:val="21"/>
          <w:szCs w:val="21"/>
        </w:rPr>
        <w:t>2</w:t>
      </w:r>
      <w:r w:rsidR="00B55F84">
        <w:rPr>
          <w:rFonts w:ascii="Arial Narrow" w:hAnsi="Arial Narrow"/>
          <w:b/>
          <w:sz w:val="21"/>
          <w:szCs w:val="21"/>
        </w:rPr>
        <w:t>8</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41FCD829"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B55F84">
        <w:rPr>
          <w:rFonts w:ascii="Arial Narrow" w:hAnsi="Arial Narrow"/>
          <w:b/>
          <w:sz w:val="21"/>
          <w:szCs w:val="21"/>
        </w:rPr>
        <w:t>13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110D832B"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B55F84">
        <w:rPr>
          <w:rFonts w:ascii="Arial Narrow" w:hAnsi="Arial Narrow" w:cs="Arial"/>
          <w:sz w:val="21"/>
          <w:szCs w:val="21"/>
        </w:rPr>
        <w:t>1</w:t>
      </w:r>
      <w:r>
        <w:rPr>
          <w:rFonts w:ascii="Arial Narrow" w:hAnsi="Arial Narrow" w:cs="Arial"/>
          <w:sz w:val="21"/>
          <w:szCs w:val="21"/>
        </w:rPr>
        <w:t xml:space="preserve"> (</w:t>
      </w:r>
      <w:r w:rsidR="00B55F84">
        <w:rPr>
          <w:rFonts w:ascii="Arial Narrow" w:hAnsi="Arial Narrow" w:cs="Arial"/>
          <w:sz w:val="21"/>
          <w:szCs w:val="21"/>
        </w:rPr>
        <w:t>um</w:t>
      </w:r>
      <w:r w:rsidRPr="0028453A">
        <w:rPr>
          <w:rFonts w:ascii="Arial Narrow" w:hAnsi="Arial Narrow" w:cs="Arial"/>
          <w:sz w:val="21"/>
          <w:szCs w:val="21"/>
        </w:rPr>
        <w:t xml:space="preserve">) dia do mês de </w:t>
      </w:r>
      <w:r w:rsidR="009524BB">
        <w:rPr>
          <w:rFonts w:ascii="Arial Narrow" w:hAnsi="Arial Narrow" w:cs="Arial"/>
          <w:sz w:val="21"/>
          <w:szCs w:val="21"/>
        </w:rPr>
        <w:t>abril</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 xml:space="preserve">por intermédio da </w:t>
      </w:r>
      <w:r w:rsidR="005E63DE" w:rsidRPr="00FA4C87">
        <w:rPr>
          <w:rFonts w:ascii="Arial Narrow" w:hAnsi="Arial Narrow"/>
          <w:b/>
          <w:bCs/>
          <w:sz w:val="21"/>
          <w:szCs w:val="21"/>
        </w:rPr>
        <w:t>SECRETARIA DE SERVIÇOS INTEGRADOS DE INFRAESTRUTURA E AGROPECUÁRIA</w:t>
      </w:r>
      <w:r w:rsidR="005E63DE">
        <w:rPr>
          <w:rFonts w:ascii="Arial Narrow" w:hAnsi="Arial Narrow"/>
          <w:sz w:val="21"/>
          <w:szCs w:val="21"/>
        </w:rPr>
        <w:t xml:space="preserve"> 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Secretário, Sr. </w:t>
      </w:r>
      <w:r w:rsidR="005E63DE">
        <w:rPr>
          <w:rFonts w:ascii="Arial Narrow" w:hAnsi="Arial Narrow"/>
          <w:b/>
          <w:sz w:val="21"/>
          <w:szCs w:val="21"/>
        </w:rPr>
        <w:t>ALCIR JOÃO DENARDI</w:t>
      </w:r>
      <w:r w:rsidR="005E63DE" w:rsidRPr="00C73F23">
        <w:rPr>
          <w:rFonts w:ascii="Arial Narrow" w:eastAsia="Arial" w:hAnsi="Arial Narrow"/>
          <w:sz w:val="21"/>
          <w:szCs w:val="21"/>
        </w:rPr>
        <w:t>,</w:t>
      </w:r>
      <w:r w:rsidR="005E63DE" w:rsidRPr="00C73F23">
        <w:rPr>
          <w:rFonts w:ascii="Arial Narrow" w:hAnsi="Arial Narrow"/>
          <w:sz w:val="21"/>
          <w:szCs w:val="21"/>
        </w:rPr>
        <w:t xml:space="preserve"> </w:t>
      </w:r>
      <w:r w:rsidR="00DF4149" w:rsidRPr="00DF4149">
        <w:rPr>
          <w:rFonts w:ascii="Arial Narrow" w:eastAsia="Arial" w:hAnsi="Arial Narrow"/>
          <w:sz w:val="21"/>
          <w:szCs w:val="21"/>
        </w:rPr>
        <w:t>inscrito no CPF/MF sob o nº 194.688.499-53, e portador da cédula de identidade nº 340.688</w:t>
      </w:r>
      <w:r w:rsidR="005E63DE" w:rsidRPr="00C73F23">
        <w:rPr>
          <w:rFonts w:ascii="Arial Narrow" w:eastAsia="Arial" w:hAnsi="Arial Narrow"/>
          <w:sz w:val="21"/>
          <w:szCs w:val="21"/>
        </w:rPr>
        <w:t>,</w:t>
      </w:r>
      <w:r w:rsidR="00067284">
        <w:rPr>
          <w:rFonts w:ascii="Arial Narrow" w:hAnsi="Arial Narrow"/>
          <w:b/>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3929750E"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330243">
        <w:rPr>
          <w:rFonts w:ascii="Arial Narrow" w:hAnsi="Arial Narrow"/>
          <w:b/>
          <w:color w:val="000000"/>
          <w:sz w:val="21"/>
          <w:szCs w:val="21"/>
        </w:rPr>
        <w:t>1</w:t>
      </w:r>
      <w:r>
        <w:rPr>
          <w:rFonts w:ascii="Arial Narrow" w:hAnsi="Arial Narrow"/>
          <w:b/>
          <w:color w:val="000000"/>
          <w:sz w:val="21"/>
          <w:szCs w:val="21"/>
        </w:rPr>
        <w:t xml:space="preserve"> - </w:t>
      </w:r>
      <w:r w:rsidR="005E63DE">
        <w:rPr>
          <w:rFonts w:ascii="Arial Narrow" w:hAnsi="Arial Narrow" w:cs="Arial"/>
          <w:b/>
          <w:sz w:val="21"/>
          <w:szCs w:val="21"/>
        </w:rPr>
        <w:t>BRITASUL COMÉRCIO DE PEDRAS</w:t>
      </w:r>
      <w:r w:rsidR="005E63DE" w:rsidRPr="00C73F23">
        <w:rPr>
          <w:rFonts w:ascii="Arial Narrow" w:hAnsi="Arial Narrow" w:cs="Arial"/>
          <w:b/>
          <w:sz w:val="21"/>
          <w:szCs w:val="21"/>
        </w:rPr>
        <w:t xml:space="preserve"> LTDA</w:t>
      </w:r>
      <w:r w:rsidR="005E63DE" w:rsidRPr="00C73F23">
        <w:rPr>
          <w:rFonts w:ascii="Arial Narrow" w:hAnsi="Arial Narrow" w:cs="Arial"/>
          <w:bCs/>
          <w:sz w:val="21"/>
          <w:szCs w:val="21"/>
        </w:rPr>
        <w:t>, inscrita no CNPJ sob o nº 0</w:t>
      </w:r>
      <w:r w:rsidR="005E63DE">
        <w:rPr>
          <w:rFonts w:ascii="Arial Narrow" w:hAnsi="Arial Narrow" w:cs="Arial"/>
          <w:bCs/>
          <w:sz w:val="21"/>
          <w:szCs w:val="21"/>
        </w:rPr>
        <w:t>7</w:t>
      </w:r>
      <w:r w:rsidR="005E63DE" w:rsidRPr="00C73F23">
        <w:rPr>
          <w:rFonts w:ascii="Arial Narrow" w:hAnsi="Arial Narrow" w:cs="Arial"/>
          <w:bCs/>
          <w:sz w:val="21"/>
          <w:szCs w:val="21"/>
        </w:rPr>
        <w:t>.</w:t>
      </w:r>
      <w:r w:rsidR="005E63DE">
        <w:rPr>
          <w:rFonts w:ascii="Arial Narrow" w:hAnsi="Arial Narrow" w:cs="Arial"/>
          <w:bCs/>
          <w:sz w:val="21"/>
          <w:szCs w:val="21"/>
        </w:rPr>
        <w:t>156</w:t>
      </w:r>
      <w:r w:rsidR="005E63DE" w:rsidRPr="00C73F23">
        <w:rPr>
          <w:rFonts w:ascii="Arial Narrow" w:hAnsi="Arial Narrow" w:cs="Arial"/>
          <w:bCs/>
          <w:sz w:val="21"/>
          <w:szCs w:val="21"/>
        </w:rPr>
        <w:t>.</w:t>
      </w:r>
      <w:r w:rsidR="005E63DE">
        <w:rPr>
          <w:rFonts w:ascii="Arial Narrow" w:hAnsi="Arial Narrow" w:cs="Arial"/>
          <w:bCs/>
          <w:sz w:val="21"/>
          <w:szCs w:val="21"/>
        </w:rPr>
        <w:t>840</w:t>
      </w:r>
      <w:r w:rsidR="005E63DE" w:rsidRPr="00C73F23">
        <w:rPr>
          <w:rFonts w:ascii="Arial Narrow" w:hAnsi="Arial Narrow" w:cs="Arial"/>
          <w:bCs/>
          <w:sz w:val="21"/>
          <w:szCs w:val="21"/>
        </w:rPr>
        <w:t>/0001-9</w:t>
      </w:r>
      <w:r w:rsidR="005E63DE">
        <w:rPr>
          <w:rFonts w:ascii="Arial Narrow" w:hAnsi="Arial Narrow" w:cs="Arial"/>
          <w:bCs/>
          <w:sz w:val="21"/>
          <w:szCs w:val="21"/>
        </w:rPr>
        <w:t>7</w:t>
      </w:r>
      <w:r w:rsidR="005E63DE" w:rsidRPr="00C73F23">
        <w:rPr>
          <w:rFonts w:ascii="Arial Narrow" w:hAnsi="Arial Narrow" w:cs="Arial"/>
          <w:bCs/>
          <w:sz w:val="21"/>
          <w:szCs w:val="21"/>
        </w:rPr>
        <w:t>, estabelecida n</w:t>
      </w:r>
      <w:r w:rsidR="005E63DE">
        <w:rPr>
          <w:rFonts w:ascii="Arial Narrow" w:hAnsi="Arial Narrow" w:cs="Arial"/>
          <w:bCs/>
          <w:sz w:val="21"/>
          <w:szCs w:val="21"/>
        </w:rPr>
        <w:t>a BR 470 – Km 315</w:t>
      </w:r>
      <w:r w:rsidR="005E63DE" w:rsidRPr="00C73F23">
        <w:rPr>
          <w:rFonts w:ascii="Arial Narrow" w:hAnsi="Arial Narrow" w:cs="Arial"/>
          <w:bCs/>
          <w:sz w:val="21"/>
          <w:szCs w:val="21"/>
        </w:rPr>
        <w:t xml:space="preserve">, </w:t>
      </w:r>
      <w:r w:rsidR="005E63DE">
        <w:rPr>
          <w:rFonts w:ascii="Arial Narrow" w:hAnsi="Arial Narrow" w:cs="Arial"/>
          <w:bCs/>
          <w:sz w:val="21"/>
          <w:szCs w:val="21"/>
        </w:rPr>
        <w:t xml:space="preserve">s/nº, </w:t>
      </w:r>
      <w:r w:rsidR="005E63DE" w:rsidRPr="00C73F23">
        <w:rPr>
          <w:rFonts w:ascii="Arial Narrow" w:hAnsi="Arial Narrow" w:cs="Arial"/>
          <w:bCs/>
          <w:sz w:val="21"/>
          <w:szCs w:val="21"/>
        </w:rPr>
        <w:t xml:space="preserve">no município de </w:t>
      </w:r>
      <w:r w:rsidR="005E63DE">
        <w:rPr>
          <w:rFonts w:ascii="Arial Narrow" w:hAnsi="Arial Narrow" w:cs="Arial"/>
          <w:bCs/>
          <w:sz w:val="21"/>
          <w:szCs w:val="21"/>
        </w:rPr>
        <w:t>Campos Novos/</w:t>
      </w:r>
      <w:r w:rsidR="005E63DE" w:rsidRPr="00C73F23">
        <w:rPr>
          <w:rFonts w:ascii="Arial Narrow" w:hAnsi="Arial Narrow" w:cs="Arial"/>
          <w:bCs/>
          <w:sz w:val="21"/>
          <w:szCs w:val="21"/>
        </w:rPr>
        <w:t>SC, neste ato representada por</w:t>
      </w:r>
      <w:r w:rsidR="005E63DE" w:rsidRPr="00C73F23">
        <w:rPr>
          <w:rFonts w:ascii="Arial Narrow" w:hAnsi="Arial Narrow" w:cs="Arial"/>
          <w:b/>
          <w:sz w:val="21"/>
          <w:szCs w:val="21"/>
        </w:rPr>
        <w:t xml:space="preserve"> </w:t>
      </w:r>
      <w:r w:rsidR="005E63DE">
        <w:rPr>
          <w:rFonts w:ascii="Arial Narrow" w:hAnsi="Arial Narrow" w:cs="Arial"/>
          <w:b/>
          <w:sz w:val="21"/>
          <w:szCs w:val="21"/>
        </w:rPr>
        <w:t>SERGIO CAMARA ALVES</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5E63DE">
        <w:rPr>
          <w:rFonts w:ascii="Arial Narrow" w:hAnsi="Arial Narrow" w:cs="Arial"/>
          <w:bCs/>
          <w:sz w:val="21"/>
          <w:szCs w:val="21"/>
        </w:rPr>
        <w:t>4015660907</w:t>
      </w:r>
      <w:r w:rsidR="005E63DE" w:rsidRPr="00C73F23">
        <w:rPr>
          <w:rFonts w:ascii="Arial Narrow" w:hAnsi="Arial Narrow" w:cs="Arial"/>
          <w:bCs/>
          <w:sz w:val="21"/>
          <w:szCs w:val="21"/>
        </w:rPr>
        <w:t xml:space="preserve"> SSP/</w:t>
      </w:r>
      <w:r w:rsidR="005E63DE">
        <w:rPr>
          <w:rFonts w:ascii="Arial Narrow" w:hAnsi="Arial Narrow" w:cs="Arial"/>
          <w:bCs/>
          <w:sz w:val="21"/>
          <w:szCs w:val="21"/>
        </w:rPr>
        <w:t>R</w:t>
      </w:r>
      <w:r w:rsidR="005E63DE" w:rsidRPr="00C73F23">
        <w:rPr>
          <w:rFonts w:ascii="Arial Narrow" w:hAnsi="Arial Narrow" w:cs="Arial"/>
          <w:bCs/>
          <w:sz w:val="21"/>
          <w:szCs w:val="21"/>
        </w:rPr>
        <w:t>S e inscrit</w:t>
      </w:r>
      <w:r w:rsidR="005E63DE">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5E63DE">
        <w:rPr>
          <w:rFonts w:ascii="Arial Narrow" w:hAnsi="Arial Narrow" w:cs="Arial"/>
          <w:bCs/>
          <w:sz w:val="21"/>
          <w:szCs w:val="21"/>
        </w:rPr>
        <w:t>234</w:t>
      </w:r>
      <w:r w:rsidR="005E63DE" w:rsidRPr="00C73F23">
        <w:rPr>
          <w:rFonts w:ascii="Arial Narrow" w:hAnsi="Arial Narrow" w:cs="Arial"/>
          <w:bCs/>
          <w:sz w:val="21"/>
          <w:szCs w:val="21"/>
        </w:rPr>
        <w:t>.</w:t>
      </w:r>
      <w:r w:rsidR="005E63DE">
        <w:rPr>
          <w:rFonts w:ascii="Arial Narrow" w:hAnsi="Arial Narrow" w:cs="Arial"/>
          <w:bCs/>
          <w:sz w:val="21"/>
          <w:szCs w:val="21"/>
        </w:rPr>
        <w:t>363</w:t>
      </w:r>
      <w:r w:rsidR="005E63DE" w:rsidRPr="00C73F23">
        <w:rPr>
          <w:rFonts w:ascii="Arial Narrow" w:hAnsi="Arial Narrow" w:cs="Arial"/>
          <w:bCs/>
          <w:sz w:val="21"/>
          <w:szCs w:val="21"/>
        </w:rPr>
        <w:t>.</w:t>
      </w:r>
      <w:r w:rsidR="005E63DE">
        <w:rPr>
          <w:rFonts w:ascii="Arial Narrow" w:hAnsi="Arial Narrow" w:cs="Arial"/>
          <w:bCs/>
          <w:sz w:val="21"/>
          <w:szCs w:val="21"/>
        </w:rPr>
        <w:t>520</w:t>
      </w:r>
      <w:r w:rsidR="005E63DE" w:rsidRPr="00C73F23">
        <w:rPr>
          <w:rFonts w:ascii="Arial Narrow" w:hAnsi="Arial Narrow" w:cs="Arial"/>
          <w:bCs/>
          <w:sz w:val="21"/>
          <w:szCs w:val="21"/>
        </w:rPr>
        <w:t>-</w:t>
      </w:r>
      <w:r w:rsidR="005E63DE">
        <w:rPr>
          <w:rFonts w:ascii="Arial Narrow" w:hAnsi="Arial Narrow" w:cs="Arial"/>
          <w:bCs/>
          <w:sz w:val="21"/>
          <w:szCs w:val="21"/>
        </w:rPr>
        <w:t>04</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330243">
        <w:rPr>
          <w:rFonts w:ascii="Arial Narrow" w:hAnsi="Arial Narrow"/>
          <w:b/>
          <w:color w:val="000000"/>
          <w:sz w:val="21"/>
          <w:szCs w:val="21"/>
        </w:rPr>
        <w:t>1</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40C3F01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02</w:t>
      </w:r>
      <w:r w:rsidR="00BC2FA4">
        <w:rPr>
          <w:rFonts w:ascii="Arial Narrow" w:hAnsi="Arial Narrow" w:cs="Arial"/>
          <w:b/>
          <w:bCs/>
          <w:sz w:val="21"/>
          <w:szCs w:val="21"/>
        </w:rPr>
        <w:t>8</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BC2FA4">
        <w:rPr>
          <w:rFonts w:ascii="Arial Narrow" w:hAnsi="Arial Narrow" w:cs="Arial"/>
          <w:b/>
          <w:bCs/>
          <w:sz w:val="21"/>
          <w:szCs w:val="21"/>
        </w:rPr>
        <w:t>13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6207D81" w:rsidR="00680154" w:rsidRPr="00FE4567" w:rsidRDefault="00680154" w:rsidP="001E50F8">
      <w:pPr>
        <w:pStyle w:val="PargrafodaLista"/>
        <w:numPr>
          <w:ilvl w:val="1"/>
          <w:numId w:val="1"/>
        </w:numPr>
        <w:ind w:left="0" w:firstLine="0"/>
        <w:jc w:val="both"/>
        <w:rPr>
          <w:rFonts w:ascii="Arial Narrow" w:hAnsi="Arial Narrow" w:cs="Arial"/>
          <w:sz w:val="21"/>
          <w:szCs w:val="21"/>
        </w:rPr>
      </w:pPr>
      <w:r w:rsidRPr="00FE4567">
        <w:rPr>
          <w:rFonts w:ascii="Arial Narrow" w:hAnsi="Arial Narrow"/>
          <w:sz w:val="21"/>
          <w:szCs w:val="21"/>
        </w:rPr>
        <w:t xml:space="preserve">A presente Ata tem como objeto o Registro de Preço </w:t>
      </w:r>
      <w:r w:rsidRPr="00FE4567">
        <w:rPr>
          <w:rFonts w:ascii="Arial Narrow" w:hAnsi="Arial Narrow" w:cs="Arial"/>
          <w:sz w:val="21"/>
          <w:szCs w:val="21"/>
        </w:rPr>
        <w:t xml:space="preserve">destinado à aquisição, de forma parcelada, de britas e materiais pétreos para manutenção dos serviços desenvolvidos pela Secretaria de Serviços Integrados de Infraestrutura e Agropecuária, conforme especificações contidas </w:t>
      </w:r>
      <w:r w:rsidR="001E50F8">
        <w:rPr>
          <w:rFonts w:ascii="Arial Narrow" w:hAnsi="Arial Narrow" w:cs="Arial"/>
          <w:sz w:val="21"/>
          <w:szCs w:val="21"/>
        </w:rPr>
        <w:t>no</w:t>
      </w:r>
      <w:r w:rsidRPr="00FE4567">
        <w:rPr>
          <w:rFonts w:ascii="Arial Narrow" w:hAnsi="Arial Narrow" w:cs="Arial"/>
          <w:sz w:val="21"/>
          <w:szCs w:val="21"/>
        </w:rPr>
        <w:t xml:space="preserve"> Edital e em seus Anexos</w:t>
      </w:r>
      <w:r w:rsidRPr="00FE4567">
        <w:rPr>
          <w:rFonts w:ascii="Arial Narrow" w:hAnsi="Arial Narrow"/>
          <w:sz w:val="21"/>
          <w:szCs w:val="21"/>
        </w:rPr>
        <w:t>,</w:t>
      </w:r>
      <w:r w:rsidRPr="00FE4567">
        <w:rPr>
          <w:rFonts w:ascii="Arial Narrow" w:hAnsi="Arial Narrow"/>
          <w:b/>
          <w:sz w:val="21"/>
          <w:szCs w:val="21"/>
        </w:rPr>
        <w:t xml:space="preserve"> </w:t>
      </w:r>
      <w:r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5083"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1"/>
        <w:gridCol w:w="1124"/>
        <w:gridCol w:w="742"/>
        <w:gridCol w:w="3856"/>
        <w:gridCol w:w="1301"/>
        <w:gridCol w:w="1468"/>
      </w:tblGrid>
      <w:tr w:rsidR="008A5E8D" w:rsidRPr="003802BF" w14:paraId="2820D02A" w14:textId="77777777" w:rsidTr="008A5E8D">
        <w:trPr>
          <w:trHeight w:val="379"/>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8A5E8D" w:rsidRPr="003802BF" w:rsidRDefault="008A5E8D" w:rsidP="004336F9">
            <w:pPr>
              <w:jc w:val="center"/>
              <w:rPr>
                <w:rFonts w:ascii="Arial Narrow" w:hAnsi="Arial Narrow"/>
                <w:b/>
                <w:sz w:val="20"/>
              </w:rPr>
            </w:pPr>
            <w:r w:rsidRPr="003802BF">
              <w:rPr>
                <w:rFonts w:ascii="Arial Narrow" w:hAnsi="Arial Narrow"/>
                <w:b/>
                <w:sz w:val="20"/>
              </w:rPr>
              <w:t>Item</w:t>
            </w:r>
          </w:p>
        </w:tc>
        <w:tc>
          <w:tcPr>
            <w:tcW w:w="61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Quant.</w:t>
            </w:r>
          </w:p>
        </w:tc>
        <w:tc>
          <w:tcPr>
            <w:tcW w:w="403"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Unid.</w:t>
            </w:r>
          </w:p>
        </w:tc>
        <w:tc>
          <w:tcPr>
            <w:tcW w:w="2093"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Descrição</w:t>
            </w:r>
          </w:p>
        </w:tc>
        <w:tc>
          <w:tcPr>
            <w:tcW w:w="706" w:type="pct"/>
            <w:tcBorders>
              <w:top w:val="single" w:sz="4" w:space="0" w:color="auto"/>
              <w:left w:val="single" w:sz="4" w:space="0" w:color="auto"/>
              <w:bottom w:val="single" w:sz="4" w:space="0" w:color="auto"/>
              <w:right w:val="single" w:sz="4" w:space="0" w:color="auto"/>
            </w:tcBorders>
            <w:vAlign w:val="center"/>
          </w:tcPr>
          <w:p w14:paraId="4C50FF95"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Unit.</w:t>
            </w:r>
          </w:p>
        </w:tc>
        <w:tc>
          <w:tcPr>
            <w:tcW w:w="797"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8A5E8D" w:rsidRPr="003802BF" w:rsidRDefault="008A5E8D" w:rsidP="004336F9">
            <w:pPr>
              <w:jc w:val="center"/>
              <w:rPr>
                <w:rFonts w:ascii="Arial Narrow" w:hAnsi="Arial Narrow"/>
                <w:b/>
                <w:bCs/>
                <w:sz w:val="20"/>
              </w:rPr>
            </w:pPr>
            <w:r w:rsidRPr="003802BF">
              <w:rPr>
                <w:rFonts w:ascii="Arial Narrow" w:hAnsi="Arial Narrow"/>
                <w:b/>
                <w:sz w:val="20"/>
              </w:rPr>
              <w:t>Preço Total</w:t>
            </w:r>
          </w:p>
        </w:tc>
      </w:tr>
      <w:tr w:rsidR="00680154" w:rsidRPr="003802BF" w14:paraId="43D88071" w14:textId="77777777" w:rsidTr="00680154">
        <w:trPr>
          <w:trHeight w:val="358"/>
          <w:jc w:val="center"/>
        </w:trPr>
        <w:tc>
          <w:tcPr>
            <w:tcW w:w="391" w:type="pct"/>
            <w:tcBorders>
              <w:top w:val="single" w:sz="4" w:space="0" w:color="auto"/>
              <w:left w:val="single" w:sz="4" w:space="0" w:color="auto"/>
              <w:bottom w:val="single" w:sz="4" w:space="0" w:color="auto"/>
              <w:right w:val="single" w:sz="4" w:space="0" w:color="auto"/>
            </w:tcBorders>
          </w:tcPr>
          <w:p w14:paraId="7F0F8727" w14:textId="4AB832D0" w:rsidR="00680154" w:rsidRPr="003802BF" w:rsidRDefault="00680154" w:rsidP="00680154">
            <w:pPr>
              <w:jc w:val="center"/>
              <w:rPr>
                <w:rFonts w:ascii="Arial Narrow" w:hAnsi="Arial Narrow"/>
                <w:sz w:val="20"/>
              </w:rPr>
            </w:pPr>
            <w:r>
              <w:rPr>
                <w:rFonts w:ascii="Arial Narrow" w:hAnsi="Arial Narrow"/>
                <w:sz w:val="20"/>
              </w:rPr>
              <w:t>4</w:t>
            </w:r>
          </w:p>
        </w:tc>
        <w:tc>
          <w:tcPr>
            <w:tcW w:w="610" w:type="pct"/>
            <w:tcBorders>
              <w:top w:val="single" w:sz="4" w:space="0" w:color="auto"/>
              <w:left w:val="single" w:sz="4" w:space="0" w:color="auto"/>
              <w:bottom w:val="single" w:sz="4" w:space="0" w:color="auto"/>
              <w:right w:val="single" w:sz="4" w:space="0" w:color="auto"/>
            </w:tcBorders>
          </w:tcPr>
          <w:p w14:paraId="11C0EF96" w14:textId="78A8A7BD" w:rsidR="00680154" w:rsidRDefault="00680154" w:rsidP="00680154">
            <w:pPr>
              <w:jc w:val="right"/>
              <w:rPr>
                <w:rFonts w:ascii="Arial Narrow" w:hAnsi="Arial Narrow"/>
                <w:sz w:val="21"/>
                <w:szCs w:val="21"/>
              </w:rPr>
            </w:pPr>
            <w:r>
              <w:rPr>
                <w:rFonts w:ascii="Arial Narrow" w:hAnsi="Arial Narrow"/>
                <w:sz w:val="21"/>
                <w:szCs w:val="21"/>
              </w:rPr>
              <w:t>500,00</w:t>
            </w:r>
          </w:p>
        </w:tc>
        <w:tc>
          <w:tcPr>
            <w:tcW w:w="403" w:type="pct"/>
            <w:tcBorders>
              <w:top w:val="single" w:sz="4" w:space="0" w:color="auto"/>
              <w:left w:val="single" w:sz="4" w:space="0" w:color="auto"/>
              <w:bottom w:val="single" w:sz="4" w:space="0" w:color="auto"/>
              <w:right w:val="single" w:sz="4" w:space="0" w:color="auto"/>
            </w:tcBorders>
          </w:tcPr>
          <w:p w14:paraId="31B41041" w14:textId="39AABFD7" w:rsidR="00680154" w:rsidRDefault="00680154" w:rsidP="00680154">
            <w:pPr>
              <w:jc w:val="center"/>
              <w:rPr>
                <w:rFonts w:ascii="Arial Narrow" w:hAnsi="Arial Narrow"/>
                <w:sz w:val="20"/>
              </w:rPr>
            </w:pPr>
            <w:r>
              <w:rPr>
                <w:rFonts w:ascii="Arial Narrow" w:hAnsi="Arial Narrow"/>
                <w:sz w:val="21"/>
                <w:szCs w:val="21"/>
              </w:rPr>
              <w:t>TON</w:t>
            </w:r>
          </w:p>
        </w:tc>
        <w:tc>
          <w:tcPr>
            <w:tcW w:w="2093" w:type="pct"/>
            <w:tcBorders>
              <w:top w:val="single" w:sz="4" w:space="0" w:color="auto"/>
              <w:left w:val="single" w:sz="4" w:space="0" w:color="auto"/>
              <w:bottom w:val="single" w:sz="4" w:space="0" w:color="auto"/>
              <w:right w:val="single" w:sz="4" w:space="0" w:color="auto"/>
            </w:tcBorders>
          </w:tcPr>
          <w:p w14:paraId="63E06162" w14:textId="1B8029B1" w:rsidR="00680154" w:rsidRPr="009E79A7" w:rsidRDefault="00680154" w:rsidP="00680154">
            <w:pPr>
              <w:spacing w:before="100" w:beforeAutospacing="1" w:after="100" w:afterAutospacing="1"/>
              <w:jc w:val="both"/>
              <w:rPr>
                <w:rFonts w:ascii="Arial Narrow" w:hAnsi="Arial Narrow"/>
                <w:sz w:val="21"/>
                <w:szCs w:val="21"/>
              </w:rPr>
            </w:pPr>
            <w:r>
              <w:rPr>
                <w:rFonts w:ascii="Arial Narrow" w:hAnsi="Arial Narrow"/>
                <w:sz w:val="21"/>
                <w:szCs w:val="21"/>
                <w:lang w:eastAsia="en-US"/>
              </w:rPr>
              <w:t>Pedra de Mão</w:t>
            </w:r>
          </w:p>
        </w:tc>
        <w:tc>
          <w:tcPr>
            <w:tcW w:w="706" w:type="pct"/>
            <w:tcBorders>
              <w:top w:val="single" w:sz="4" w:space="0" w:color="auto"/>
              <w:left w:val="single" w:sz="4" w:space="0" w:color="auto"/>
              <w:bottom w:val="single" w:sz="4" w:space="0" w:color="auto"/>
              <w:right w:val="single" w:sz="4" w:space="0" w:color="auto"/>
            </w:tcBorders>
          </w:tcPr>
          <w:p w14:paraId="3204C94A" w14:textId="539F4EC7" w:rsidR="00680154" w:rsidRDefault="00680154" w:rsidP="00680154">
            <w:pPr>
              <w:jc w:val="right"/>
              <w:rPr>
                <w:rFonts w:ascii="Arial Narrow" w:hAnsi="Arial Narrow"/>
                <w:sz w:val="20"/>
              </w:rPr>
            </w:pPr>
            <w:r>
              <w:rPr>
                <w:rFonts w:ascii="Arial Narrow" w:hAnsi="Arial Narrow"/>
                <w:sz w:val="20"/>
              </w:rPr>
              <w:t>51,95</w:t>
            </w:r>
          </w:p>
        </w:tc>
        <w:tc>
          <w:tcPr>
            <w:tcW w:w="797" w:type="pct"/>
            <w:tcBorders>
              <w:top w:val="single" w:sz="4" w:space="0" w:color="auto"/>
              <w:left w:val="single" w:sz="4" w:space="0" w:color="auto"/>
              <w:bottom w:val="single" w:sz="4" w:space="0" w:color="auto"/>
              <w:right w:val="single" w:sz="4" w:space="0" w:color="auto"/>
            </w:tcBorders>
          </w:tcPr>
          <w:p w14:paraId="7CAAE9CE" w14:textId="26119722" w:rsidR="00680154" w:rsidRDefault="00680154" w:rsidP="00680154">
            <w:pPr>
              <w:jc w:val="right"/>
              <w:rPr>
                <w:rFonts w:ascii="Arial Narrow" w:hAnsi="Arial Narrow"/>
                <w:sz w:val="20"/>
              </w:rPr>
            </w:pPr>
            <w:r>
              <w:rPr>
                <w:rFonts w:ascii="Arial Narrow" w:hAnsi="Arial Narrow"/>
                <w:sz w:val="20"/>
              </w:rPr>
              <w:t>2</w:t>
            </w:r>
            <w:r w:rsidR="001E50F8">
              <w:rPr>
                <w:rFonts w:ascii="Arial Narrow" w:hAnsi="Arial Narrow"/>
                <w:sz w:val="20"/>
              </w:rPr>
              <w:t>5</w:t>
            </w:r>
            <w:r>
              <w:rPr>
                <w:rFonts w:ascii="Arial Narrow" w:hAnsi="Arial Narrow"/>
                <w:sz w:val="20"/>
              </w:rPr>
              <w:t>.</w:t>
            </w:r>
            <w:r w:rsidR="001E50F8">
              <w:rPr>
                <w:rFonts w:ascii="Arial Narrow" w:hAnsi="Arial Narrow"/>
                <w:sz w:val="20"/>
              </w:rPr>
              <w:t>975</w:t>
            </w:r>
            <w:r>
              <w:rPr>
                <w:rFonts w:ascii="Arial Narrow" w:hAnsi="Arial Narrow"/>
                <w:sz w:val="20"/>
              </w:rPr>
              <w:t>,00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2E6F2CC0"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242924">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321DF2">
        <w:rPr>
          <w:rFonts w:ascii="Arial Narrow" w:hAnsi="Arial Narrow" w:cs="Arial"/>
          <w:b/>
          <w:bCs/>
          <w:sz w:val="21"/>
          <w:szCs w:val="21"/>
        </w:rPr>
        <w:t>25</w:t>
      </w:r>
      <w:r w:rsidR="00B32CF2">
        <w:rPr>
          <w:rFonts w:ascii="Arial Narrow" w:hAnsi="Arial Narrow" w:cs="Arial"/>
          <w:b/>
          <w:bCs/>
          <w:sz w:val="21"/>
          <w:szCs w:val="21"/>
        </w:rPr>
        <w:t>.</w:t>
      </w:r>
      <w:r w:rsidR="00321DF2">
        <w:rPr>
          <w:rFonts w:ascii="Arial Narrow" w:hAnsi="Arial Narrow" w:cs="Arial"/>
          <w:b/>
          <w:bCs/>
          <w:sz w:val="21"/>
          <w:szCs w:val="21"/>
        </w:rPr>
        <w:t>975</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321DF2">
        <w:rPr>
          <w:rFonts w:ascii="Arial Narrow" w:hAnsi="Arial Narrow" w:cs="Arial"/>
          <w:b/>
          <w:bCs/>
          <w:sz w:val="21"/>
          <w:szCs w:val="21"/>
        </w:rPr>
        <w:t>vinte</w:t>
      </w:r>
      <w:r w:rsidR="00242924">
        <w:rPr>
          <w:rFonts w:ascii="Arial Narrow" w:hAnsi="Arial Narrow" w:cs="Arial"/>
          <w:b/>
          <w:bCs/>
          <w:sz w:val="21"/>
          <w:szCs w:val="21"/>
        </w:rPr>
        <w:t xml:space="preserve"> e </w:t>
      </w:r>
      <w:r w:rsidR="00321DF2">
        <w:rPr>
          <w:rFonts w:ascii="Arial Narrow" w:hAnsi="Arial Narrow" w:cs="Arial"/>
          <w:b/>
          <w:bCs/>
          <w:sz w:val="21"/>
          <w:szCs w:val="21"/>
        </w:rPr>
        <w:t>cinco</w:t>
      </w:r>
      <w:r w:rsidR="00B32CF2">
        <w:rPr>
          <w:rFonts w:ascii="Arial Narrow" w:hAnsi="Arial Narrow" w:cs="Arial"/>
          <w:b/>
          <w:bCs/>
          <w:sz w:val="21"/>
          <w:szCs w:val="21"/>
        </w:rPr>
        <w:t xml:space="preserve"> mil</w:t>
      </w:r>
      <w:r w:rsidR="00242924">
        <w:rPr>
          <w:rFonts w:ascii="Arial Narrow" w:hAnsi="Arial Narrow" w:cs="Arial"/>
          <w:b/>
          <w:bCs/>
          <w:sz w:val="21"/>
          <w:szCs w:val="21"/>
        </w:rPr>
        <w:t xml:space="preserve">, </w:t>
      </w:r>
      <w:r w:rsidR="00321DF2">
        <w:rPr>
          <w:rFonts w:ascii="Arial Narrow" w:hAnsi="Arial Narrow" w:cs="Arial"/>
          <w:b/>
          <w:bCs/>
          <w:sz w:val="21"/>
          <w:szCs w:val="21"/>
        </w:rPr>
        <w:t>novecentos</w:t>
      </w:r>
      <w:r w:rsidR="00242924">
        <w:rPr>
          <w:rFonts w:ascii="Arial Narrow" w:hAnsi="Arial Narrow" w:cs="Arial"/>
          <w:b/>
          <w:bCs/>
          <w:sz w:val="21"/>
          <w:szCs w:val="21"/>
        </w:rPr>
        <w:t xml:space="preserve"> e </w:t>
      </w:r>
      <w:r w:rsidR="00321DF2">
        <w:rPr>
          <w:rFonts w:ascii="Arial Narrow" w:hAnsi="Arial Narrow" w:cs="Arial"/>
          <w:b/>
          <w:bCs/>
          <w:sz w:val="21"/>
          <w:szCs w:val="21"/>
        </w:rPr>
        <w:t>setenta e cinco</w:t>
      </w:r>
      <w:r w:rsidR="00B61411">
        <w:rPr>
          <w:rFonts w:ascii="Arial Narrow" w:hAnsi="Arial Narrow" w:cs="Arial"/>
          <w:b/>
          <w:bCs/>
          <w:sz w:val="21"/>
          <w:szCs w:val="21"/>
        </w:rPr>
        <w:t xml:space="preserve"> 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175871">
      <w:pPr>
        <w:shd w:val="clear" w:color="auto" w:fill="FFFFFF"/>
        <w:tabs>
          <w:tab w:val="left" w:pos="180"/>
        </w:tabs>
        <w:suppressAutoHyphens/>
        <w:jc w:val="both"/>
        <w:rPr>
          <w:rFonts w:ascii="Arial Narrow" w:hAnsi="Arial Narrow" w:cs="Calibri"/>
          <w:sz w:val="21"/>
          <w:szCs w:val="21"/>
          <w:lang w:eastAsia="ar-SA"/>
        </w:rPr>
      </w:pPr>
    </w:p>
    <w:p w14:paraId="58588383" w14:textId="77777777" w:rsidR="00F25D41" w:rsidRPr="00A50457" w:rsidRDefault="00F25D41" w:rsidP="00F25D41">
      <w:pPr>
        <w:pStyle w:val="Corpodetexto"/>
        <w:rPr>
          <w:rFonts w:ascii="Arial Narrow" w:hAnsi="Arial Narrow"/>
          <w:sz w:val="21"/>
          <w:szCs w:val="21"/>
        </w:rPr>
      </w:pPr>
      <w:r>
        <w:rPr>
          <w:rFonts w:ascii="Arial Narrow" w:hAnsi="Arial Narrow"/>
          <w:sz w:val="21"/>
          <w:szCs w:val="21"/>
        </w:rPr>
        <w:t>2.1</w:t>
      </w:r>
      <w:r w:rsidRPr="00A50457">
        <w:rPr>
          <w:rFonts w:ascii="Arial Narrow" w:hAnsi="Arial Narrow"/>
          <w:sz w:val="21"/>
          <w:szCs w:val="21"/>
        </w:rPr>
        <w:t xml:space="preserve">. O material deverá ser fornecido, </w:t>
      </w:r>
      <w:r w:rsidRPr="00A50457">
        <w:rPr>
          <w:rFonts w:ascii="Arial Narrow" w:hAnsi="Arial Narrow"/>
          <w:b/>
          <w:sz w:val="21"/>
          <w:szCs w:val="21"/>
        </w:rPr>
        <w:t>de forma parcelada</w:t>
      </w:r>
      <w:r w:rsidRPr="00A50457">
        <w:rPr>
          <w:rFonts w:ascii="Arial Narrow" w:hAnsi="Arial Narrow"/>
          <w:sz w:val="21"/>
          <w:szCs w:val="21"/>
        </w:rPr>
        <w:t>, de acordo com as necessidades da Secretaria de Serviços Integrados de Infraestrutura</w:t>
      </w:r>
      <w:r>
        <w:rPr>
          <w:rFonts w:ascii="Arial Narrow" w:hAnsi="Arial Narrow"/>
          <w:sz w:val="21"/>
          <w:szCs w:val="21"/>
        </w:rPr>
        <w:t xml:space="preserve"> e Agropecuária</w:t>
      </w:r>
      <w:r w:rsidRPr="00A50457">
        <w:rPr>
          <w:rFonts w:ascii="Arial Narrow" w:hAnsi="Arial Narrow"/>
          <w:sz w:val="21"/>
          <w:szCs w:val="21"/>
        </w:rPr>
        <w:t xml:space="preserve"> do Município de Luzerna, a qual fará a </w:t>
      </w:r>
      <w:r w:rsidRPr="00BD44F2">
        <w:rPr>
          <w:rFonts w:ascii="Arial Narrow" w:hAnsi="Arial Narrow"/>
          <w:b/>
          <w:sz w:val="21"/>
          <w:szCs w:val="21"/>
        </w:rPr>
        <w:t xml:space="preserve">retirada do material no estabelecimento </w:t>
      </w:r>
      <w:r>
        <w:rPr>
          <w:rFonts w:ascii="Arial Narrow" w:hAnsi="Arial Narrow"/>
          <w:b/>
          <w:sz w:val="21"/>
          <w:szCs w:val="21"/>
        </w:rPr>
        <w:t>do FORNECEDOR</w:t>
      </w:r>
      <w:r w:rsidRPr="00A50457">
        <w:rPr>
          <w:rFonts w:ascii="Arial Narrow" w:hAnsi="Arial Narrow"/>
          <w:sz w:val="21"/>
          <w:szCs w:val="21"/>
        </w:rPr>
        <w:t>, mediante aviso prévio, observando as disposições a seguir:</w:t>
      </w:r>
    </w:p>
    <w:p w14:paraId="56BA0AB6" w14:textId="77777777" w:rsidR="00F25D41" w:rsidRPr="00A50457" w:rsidRDefault="00F25D41" w:rsidP="00F25D41">
      <w:pPr>
        <w:pStyle w:val="Corpodetexto"/>
        <w:rPr>
          <w:rFonts w:ascii="Arial Narrow" w:hAnsi="Arial Narrow"/>
          <w:sz w:val="21"/>
          <w:szCs w:val="21"/>
        </w:rPr>
      </w:pPr>
      <w:r>
        <w:rPr>
          <w:rFonts w:ascii="Arial Narrow" w:hAnsi="Arial Narrow"/>
          <w:sz w:val="21"/>
          <w:szCs w:val="21"/>
        </w:rPr>
        <w:t>2</w:t>
      </w:r>
      <w:r w:rsidRPr="00A50457">
        <w:rPr>
          <w:rFonts w:ascii="Arial Narrow" w:hAnsi="Arial Narrow"/>
          <w:sz w:val="21"/>
          <w:szCs w:val="21"/>
        </w:rPr>
        <w:t xml:space="preserve">.1.1.  Distância máxima de </w:t>
      </w:r>
      <w:r w:rsidRPr="00A50457">
        <w:rPr>
          <w:rFonts w:ascii="Arial Narrow" w:hAnsi="Arial Narrow"/>
          <w:b/>
          <w:sz w:val="21"/>
          <w:szCs w:val="21"/>
        </w:rPr>
        <w:t>até 20 (vinte) quilômetros</w:t>
      </w:r>
      <w:r w:rsidRPr="00A50457">
        <w:rPr>
          <w:rFonts w:ascii="Arial Narrow" w:hAnsi="Arial Narrow"/>
          <w:sz w:val="21"/>
          <w:szCs w:val="21"/>
        </w:rPr>
        <w:t xml:space="preserve"> da sede da Prefeitura de Luzerna/SC, sito na Avenida 16 de Fevereiro, 151, Centro.</w:t>
      </w:r>
    </w:p>
    <w:p w14:paraId="3A39C4F4" w14:textId="77777777" w:rsidR="00F25D41" w:rsidRPr="00A50457" w:rsidRDefault="00F25D41" w:rsidP="00F25D41">
      <w:pPr>
        <w:pStyle w:val="SemEspaamento"/>
        <w:jc w:val="both"/>
        <w:rPr>
          <w:rFonts w:ascii="Arial Narrow" w:hAnsi="Arial Narrow"/>
          <w:b/>
          <w:sz w:val="21"/>
          <w:szCs w:val="21"/>
        </w:rPr>
      </w:pPr>
      <w:r>
        <w:rPr>
          <w:rFonts w:ascii="Arial Narrow" w:hAnsi="Arial Narrow"/>
          <w:sz w:val="21"/>
          <w:szCs w:val="21"/>
        </w:rPr>
        <w:t>2</w:t>
      </w:r>
      <w:r w:rsidRPr="00A50457">
        <w:rPr>
          <w:rFonts w:ascii="Arial Narrow" w:hAnsi="Arial Narrow"/>
          <w:sz w:val="21"/>
          <w:szCs w:val="21"/>
        </w:rPr>
        <w:t xml:space="preserve">.1.2. </w:t>
      </w:r>
      <w:r w:rsidRPr="00A50457">
        <w:rPr>
          <w:rFonts w:ascii="Arial Narrow" w:hAnsi="Arial Narrow"/>
          <w:b/>
          <w:sz w:val="21"/>
          <w:szCs w:val="21"/>
        </w:rPr>
        <w:t xml:space="preserve">Em caso de </w:t>
      </w:r>
      <w:r>
        <w:rPr>
          <w:rFonts w:ascii="Arial Narrow" w:hAnsi="Arial Narrow"/>
          <w:b/>
          <w:sz w:val="21"/>
          <w:szCs w:val="21"/>
        </w:rPr>
        <w:t xml:space="preserve">o FORNECEDOR </w:t>
      </w:r>
      <w:r w:rsidRPr="00A50457">
        <w:rPr>
          <w:rFonts w:ascii="Arial Narrow" w:hAnsi="Arial Narrow"/>
          <w:b/>
          <w:sz w:val="21"/>
          <w:szCs w:val="21"/>
        </w:rPr>
        <w:t>localizar-se a uma distância superior a</w:t>
      </w:r>
      <w:r w:rsidRPr="00A50457">
        <w:rPr>
          <w:rFonts w:ascii="Arial Narrow" w:hAnsi="Arial Narrow"/>
          <w:b/>
          <w:bCs/>
          <w:sz w:val="21"/>
          <w:szCs w:val="21"/>
        </w:rPr>
        <w:t xml:space="preserve"> 20 </w:t>
      </w:r>
      <w:r w:rsidRPr="00A50457">
        <w:rPr>
          <w:rFonts w:ascii="Arial Narrow" w:hAnsi="Arial Narrow"/>
          <w:b/>
          <w:sz w:val="21"/>
          <w:szCs w:val="21"/>
        </w:rPr>
        <w:t>(vinte) quilômetros da sede da Prefeitura de Luzerna/SC, sito na Avenida 16 de Fevereiro, 151, Centro, o frete correrá única e exclusivamente a expensas da proponente vencedora.</w:t>
      </w:r>
    </w:p>
    <w:p w14:paraId="5545A080" w14:textId="77777777" w:rsidR="00F25D41" w:rsidRDefault="00F25D41" w:rsidP="00F25D41">
      <w:pPr>
        <w:pStyle w:val="SemEspaamento"/>
        <w:jc w:val="both"/>
        <w:rPr>
          <w:rFonts w:ascii="Arial Narrow" w:hAnsi="Arial Narrow" w:cs="Arial"/>
          <w:i/>
          <w:sz w:val="21"/>
          <w:szCs w:val="21"/>
        </w:rPr>
      </w:pPr>
      <w:r>
        <w:rPr>
          <w:rFonts w:ascii="Arial Narrow" w:hAnsi="Arial Narrow"/>
          <w:sz w:val="21"/>
          <w:szCs w:val="21"/>
        </w:rPr>
        <w:t>2.</w:t>
      </w:r>
      <w:r w:rsidRPr="00A50457">
        <w:rPr>
          <w:rFonts w:ascii="Arial Narrow" w:hAnsi="Arial Narrow"/>
          <w:sz w:val="21"/>
          <w:szCs w:val="21"/>
        </w:rPr>
        <w:t>1.3. A Prefeitura de Luzerna compromete-se em enviar veículo próprio até o estabelecimento da proponente vencedora para que esta proceda ao carregamento do objeto, na quantidade previamente solicitada, sendo que n</w:t>
      </w:r>
      <w:r w:rsidRPr="00A50457">
        <w:rPr>
          <w:rFonts w:ascii="Arial Narrow" w:hAnsi="Arial Narrow" w:cs="Arial"/>
          <w:sz w:val="21"/>
          <w:szCs w:val="21"/>
        </w:rPr>
        <w:t>a retirada será utilizado caminhão caçamba, com capacidade de carga de aproximadamente 10 (dez) toneladas, desde que observada as condições do</w:t>
      </w:r>
      <w:r w:rsidRPr="00A50457">
        <w:rPr>
          <w:rFonts w:ascii="Arial Narrow" w:hAnsi="Arial Narrow" w:cs="Arial"/>
          <w:i/>
          <w:sz w:val="21"/>
          <w:szCs w:val="21"/>
        </w:rPr>
        <w:t xml:space="preserve"> </w:t>
      </w:r>
      <w:r>
        <w:rPr>
          <w:rFonts w:ascii="Arial Narrow" w:hAnsi="Arial Narrow" w:cs="Arial"/>
          <w:i/>
          <w:sz w:val="21"/>
          <w:szCs w:val="21"/>
        </w:rPr>
        <w:t>sub</w:t>
      </w:r>
      <w:r w:rsidRPr="00A50457">
        <w:rPr>
          <w:rFonts w:ascii="Arial Narrow" w:hAnsi="Arial Narrow" w:cs="Arial"/>
          <w:i/>
          <w:sz w:val="21"/>
          <w:szCs w:val="21"/>
        </w:rPr>
        <w:t xml:space="preserve">item </w:t>
      </w:r>
      <w:r>
        <w:rPr>
          <w:rFonts w:ascii="Arial Narrow" w:hAnsi="Arial Narrow" w:cs="Arial"/>
          <w:i/>
          <w:sz w:val="21"/>
          <w:szCs w:val="21"/>
        </w:rPr>
        <w:t>2.</w:t>
      </w:r>
      <w:r w:rsidRPr="00A50457">
        <w:rPr>
          <w:rFonts w:ascii="Arial Narrow" w:hAnsi="Arial Narrow" w:cs="Arial"/>
          <w:i/>
          <w:sz w:val="21"/>
          <w:szCs w:val="21"/>
        </w:rPr>
        <w:t>1.1.</w:t>
      </w:r>
    </w:p>
    <w:p w14:paraId="6B2B42DC" w14:textId="77777777" w:rsidR="00F25D41" w:rsidRDefault="00F25D41" w:rsidP="00F25D41">
      <w:pPr>
        <w:pStyle w:val="Corpodetexto"/>
        <w:rPr>
          <w:rFonts w:ascii="Arial Narrow" w:hAnsi="Arial Narrow"/>
          <w:sz w:val="21"/>
          <w:szCs w:val="21"/>
        </w:rPr>
      </w:pPr>
    </w:p>
    <w:p w14:paraId="75B0F57E" w14:textId="77777777" w:rsidR="00F25D41" w:rsidRDefault="00F25D41" w:rsidP="00F25D41">
      <w:pPr>
        <w:pStyle w:val="Corpodetexto"/>
        <w:rPr>
          <w:rFonts w:ascii="Arial Narrow" w:hAnsi="Arial Narrow"/>
          <w:sz w:val="21"/>
          <w:szCs w:val="21"/>
        </w:rPr>
      </w:pPr>
      <w:r>
        <w:rPr>
          <w:rFonts w:ascii="Arial Narrow" w:hAnsi="Arial Narrow"/>
          <w:sz w:val="21"/>
          <w:szCs w:val="21"/>
        </w:rPr>
        <w:t xml:space="preserve">2.2. </w:t>
      </w:r>
      <w:r w:rsidRPr="00E84823">
        <w:rPr>
          <w:rFonts w:ascii="Arial Narrow" w:hAnsi="Arial Narrow"/>
          <w:sz w:val="21"/>
          <w:szCs w:val="21"/>
        </w:rPr>
        <w:t>As pedras de calçamento regulares devem ser entregues limpas, livres de sujidades e impurezas no carregamento de entrega, tais como britas, terra, detritos e similares. A Prefeitura Municipal de Luzerna reserva-se no direito de recusar a entrega caso esta condição não fora atendida, livre de qualquer ônus ou responsabilidade pela entrega não realizada</w:t>
      </w:r>
      <w:r>
        <w:rPr>
          <w:rFonts w:ascii="Arial Narrow" w:hAnsi="Arial Narrow"/>
          <w:sz w:val="21"/>
          <w:szCs w:val="21"/>
        </w:rPr>
        <w:t>.</w:t>
      </w:r>
    </w:p>
    <w:p w14:paraId="20C6E17B" w14:textId="77777777" w:rsidR="00F25D41" w:rsidRDefault="00F25D41" w:rsidP="00F25D41">
      <w:pPr>
        <w:pStyle w:val="Corpodetexto"/>
        <w:rPr>
          <w:rFonts w:ascii="Arial Narrow" w:hAnsi="Arial Narrow"/>
          <w:sz w:val="21"/>
          <w:szCs w:val="21"/>
        </w:rPr>
      </w:pPr>
    </w:p>
    <w:p w14:paraId="08C4E528" w14:textId="77777777" w:rsidR="00F25D41" w:rsidRPr="00BB4E5E" w:rsidRDefault="00F25D41" w:rsidP="00F25D41">
      <w:pPr>
        <w:pStyle w:val="Corpodetexto"/>
        <w:tabs>
          <w:tab w:val="left" w:pos="540"/>
        </w:tabs>
        <w:rPr>
          <w:sz w:val="21"/>
          <w:szCs w:val="21"/>
        </w:rPr>
      </w:pPr>
      <w:r>
        <w:rPr>
          <w:rFonts w:ascii="Arial Narrow" w:hAnsi="Arial Narrow"/>
          <w:sz w:val="21"/>
          <w:szCs w:val="21"/>
          <w:lang w:eastAsia="pt-BR"/>
        </w:rPr>
        <w:t>2.3.</w:t>
      </w:r>
      <w:r w:rsidRPr="00BB4E5E">
        <w:rPr>
          <w:rFonts w:ascii="Arial Narrow" w:hAnsi="Arial Narrow"/>
          <w:sz w:val="21"/>
          <w:szCs w:val="21"/>
          <w:lang w:eastAsia="pt-BR"/>
        </w:rPr>
        <w:t xml:space="preserve"> Os </w:t>
      </w:r>
      <w:r>
        <w:rPr>
          <w:rFonts w:ascii="Arial Narrow" w:hAnsi="Arial Narrow"/>
          <w:sz w:val="21"/>
          <w:szCs w:val="21"/>
          <w:lang w:eastAsia="pt-BR"/>
        </w:rPr>
        <w:t xml:space="preserve">materiais </w:t>
      </w:r>
      <w:r w:rsidRPr="00BB4E5E">
        <w:rPr>
          <w:rFonts w:ascii="Arial Narrow" w:hAnsi="Arial Narrow"/>
          <w:sz w:val="21"/>
          <w:szCs w:val="21"/>
          <w:lang w:eastAsia="pt-BR"/>
        </w:rPr>
        <w:t>deverão ser cotados e entregues em conformidade com as características mínimas constantes nas especificações do objeto.</w:t>
      </w:r>
      <w:r w:rsidRPr="00BB4E5E">
        <w:rPr>
          <w:sz w:val="21"/>
          <w:szCs w:val="21"/>
        </w:rPr>
        <w:t xml:space="preserve"> </w:t>
      </w:r>
    </w:p>
    <w:p w14:paraId="0497EF39" w14:textId="77777777" w:rsidR="00F25D41" w:rsidRDefault="00F25D41" w:rsidP="00F25D41">
      <w:pPr>
        <w:pStyle w:val="Corpodetexto"/>
        <w:tabs>
          <w:tab w:val="left" w:pos="540"/>
        </w:tabs>
        <w:rPr>
          <w:rFonts w:ascii="Arial Narrow" w:hAnsi="Arial Narrow"/>
          <w:sz w:val="21"/>
          <w:szCs w:val="21"/>
          <w:lang w:eastAsia="pt-BR"/>
        </w:rPr>
      </w:pPr>
      <w:r>
        <w:rPr>
          <w:rFonts w:ascii="Arial Narrow" w:hAnsi="Arial Narrow"/>
          <w:sz w:val="21"/>
          <w:szCs w:val="21"/>
          <w:lang w:eastAsia="pt-BR"/>
        </w:rPr>
        <w:t>2.3.1. Os materiais</w:t>
      </w:r>
      <w:r w:rsidRPr="00BB4E5E">
        <w:rPr>
          <w:rFonts w:ascii="Arial Narrow" w:hAnsi="Arial Narrow"/>
          <w:sz w:val="21"/>
          <w:szCs w:val="21"/>
          <w:lang w:eastAsia="pt-BR"/>
        </w:rPr>
        <w:t xml:space="preserve"> fornecidos deverão ser de </w:t>
      </w:r>
      <w:r w:rsidRPr="008F002D">
        <w:rPr>
          <w:rFonts w:ascii="Arial Narrow" w:hAnsi="Arial Narrow"/>
          <w:b/>
          <w:sz w:val="21"/>
          <w:szCs w:val="21"/>
          <w:lang w:eastAsia="pt-BR"/>
        </w:rPr>
        <w:t>primeira qualidade</w:t>
      </w:r>
      <w:r>
        <w:rPr>
          <w:rFonts w:ascii="Arial Narrow" w:hAnsi="Arial Narrow"/>
          <w:sz w:val="21"/>
          <w:szCs w:val="21"/>
          <w:lang w:eastAsia="pt-BR"/>
        </w:rPr>
        <w:t>.</w:t>
      </w:r>
    </w:p>
    <w:p w14:paraId="53C12051" w14:textId="77777777" w:rsidR="00F25D41" w:rsidRPr="00BB4E5E" w:rsidRDefault="00F25D41" w:rsidP="00F25D41">
      <w:pPr>
        <w:pStyle w:val="Corpodetexto"/>
        <w:tabs>
          <w:tab w:val="left" w:pos="540"/>
        </w:tabs>
        <w:rPr>
          <w:rFonts w:ascii="Arial Narrow" w:hAnsi="Arial Narrow"/>
          <w:sz w:val="21"/>
          <w:szCs w:val="21"/>
          <w:lang w:eastAsia="pt-BR"/>
        </w:rPr>
      </w:pPr>
    </w:p>
    <w:p w14:paraId="3301AFA0" w14:textId="3C70D22A" w:rsidR="00F25D41" w:rsidRDefault="00F25D41" w:rsidP="00F25D41">
      <w:pPr>
        <w:pStyle w:val="Corpodetexto"/>
        <w:rPr>
          <w:rFonts w:ascii="Arial Narrow" w:hAnsi="Arial Narrow"/>
          <w:sz w:val="21"/>
          <w:szCs w:val="21"/>
        </w:rPr>
      </w:pPr>
      <w:r>
        <w:rPr>
          <w:rFonts w:ascii="Arial Narrow" w:hAnsi="Arial Narrow"/>
          <w:sz w:val="21"/>
          <w:szCs w:val="21"/>
        </w:rPr>
        <w:t>2.4.</w:t>
      </w:r>
      <w:r w:rsidRPr="00A50457">
        <w:rPr>
          <w:rFonts w:ascii="Arial Narrow" w:hAnsi="Arial Narrow"/>
          <w:sz w:val="21"/>
          <w:szCs w:val="21"/>
        </w:rPr>
        <w:t xml:space="preserve"> </w:t>
      </w:r>
      <w:r>
        <w:rPr>
          <w:rFonts w:ascii="Arial Narrow" w:hAnsi="Arial Narrow"/>
          <w:sz w:val="21"/>
          <w:szCs w:val="21"/>
        </w:rPr>
        <w:t>O FORNECEDOR</w:t>
      </w:r>
      <w:r w:rsidRPr="00A50457">
        <w:rPr>
          <w:rFonts w:ascii="Arial Narrow" w:hAnsi="Arial Narrow"/>
          <w:sz w:val="21"/>
          <w:szCs w:val="21"/>
        </w:rPr>
        <w:t xml:space="preserve"> deverá fornecer os produtos descritos </w:t>
      </w:r>
      <w:r w:rsidR="007336D4">
        <w:rPr>
          <w:rFonts w:ascii="Arial Narrow" w:hAnsi="Arial Narrow"/>
          <w:sz w:val="21"/>
          <w:szCs w:val="21"/>
        </w:rPr>
        <w:t>no</w:t>
      </w:r>
      <w:r w:rsidRPr="00A50457">
        <w:rPr>
          <w:rFonts w:ascii="Arial Narrow" w:hAnsi="Arial Narrow"/>
          <w:sz w:val="21"/>
          <w:szCs w:val="21"/>
        </w:rPr>
        <w:t xml:space="preserve"> edital, buscando o fiel cumprimento dos pedidos efetuados pelo setor municipal competente.</w:t>
      </w:r>
    </w:p>
    <w:p w14:paraId="62BB4BB0" w14:textId="77777777" w:rsidR="00F25D41" w:rsidRDefault="00F25D41" w:rsidP="00F25D41">
      <w:pPr>
        <w:pStyle w:val="Corpodetexto"/>
        <w:rPr>
          <w:rFonts w:ascii="Arial Narrow" w:hAnsi="Arial Narrow"/>
          <w:sz w:val="21"/>
          <w:szCs w:val="21"/>
        </w:rPr>
      </w:pPr>
    </w:p>
    <w:p w14:paraId="4653927A" w14:textId="14C06513" w:rsidR="00F25D41" w:rsidRDefault="00F25D41" w:rsidP="00F25D41">
      <w:pPr>
        <w:pStyle w:val="Corpodetexto"/>
        <w:rPr>
          <w:rFonts w:ascii="Arial Narrow" w:hAnsi="Arial Narrow"/>
          <w:sz w:val="21"/>
          <w:szCs w:val="21"/>
        </w:rPr>
      </w:pPr>
      <w:r>
        <w:rPr>
          <w:rFonts w:ascii="Arial Narrow" w:hAnsi="Arial Narrow"/>
          <w:sz w:val="21"/>
          <w:szCs w:val="21"/>
        </w:rPr>
        <w:t>2.5.</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33F246AC" w14:textId="708DF3DF" w:rsidR="000C67D2" w:rsidRDefault="000C67D2" w:rsidP="00F25D41">
      <w:pPr>
        <w:pStyle w:val="Corpodetexto"/>
        <w:rPr>
          <w:rFonts w:ascii="Arial Narrow" w:hAnsi="Arial Narrow"/>
          <w:sz w:val="21"/>
          <w:szCs w:val="21"/>
        </w:rPr>
      </w:pPr>
    </w:p>
    <w:p w14:paraId="366CD52E" w14:textId="589C03DB"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2.6.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40998B6A"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7336D4" w:rsidRPr="00E12E01">
        <w:rPr>
          <w:rFonts w:ascii="Arial Narrow" w:hAnsi="Arial Narrow" w:cs="Arial"/>
          <w:sz w:val="21"/>
          <w:szCs w:val="21"/>
        </w:rPr>
        <w:t>7</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548834C2"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20A15B8F" w14:textId="60C66671"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55F14B4B"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3.6.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7F9A5C77" w14:textId="77777777" w:rsidR="00B91FA0" w:rsidRPr="00967D75" w:rsidRDefault="00B91FA0" w:rsidP="00B91FA0">
      <w:pPr>
        <w:tabs>
          <w:tab w:val="left" w:pos="9072"/>
          <w:tab w:val="left" w:pos="9214"/>
        </w:tabs>
        <w:ind w:firstLine="567"/>
        <w:jc w:val="both"/>
        <w:rPr>
          <w:rFonts w:ascii="Arial Narrow" w:hAnsi="Arial Narrow"/>
          <w:i/>
          <w:sz w:val="21"/>
          <w:szCs w:val="21"/>
        </w:rPr>
      </w:pPr>
      <w:r>
        <w:rPr>
          <w:rFonts w:ascii="Arial Narrow" w:hAnsi="Arial Narrow"/>
          <w:i/>
          <w:sz w:val="21"/>
          <w:szCs w:val="21"/>
        </w:rPr>
        <w:t>Alcir João Denardi</w:t>
      </w:r>
    </w:p>
    <w:p w14:paraId="5FDA2C60" w14:textId="77777777" w:rsidR="00B91FA0" w:rsidRPr="00967D75" w:rsidRDefault="00B91FA0" w:rsidP="00B91FA0">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683AEA02" w14:textId="77777777" w:rsidR="005708B7"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E-mails:</w:t>
      </w:r>
      <w:r>
        <w:rPr>
          <w:rFonts w:ascii="Arial Narrow" w:hAnsi="Arial Narrow"/>
          <w:sz w:val="21"/>
          <w:szCs w:val="21"/>
        </w:rPr>
        <w:t xml:space="preserve"> </w:t>
      </w:r>
      <w:hyperlink r:id="rId7" w:history="1">
        <w:r w:rsidRPr="00B365E4">
          <w:rPr>
            <w:rStyle w:val="Hyperlink"/>
            <w:rFonts w:ascii="Arial Narrow" w:hAnsi="Arial Narrow"/>
            <w:sz w:val="21"/>
            <w:szCs w:val="21"/>
          </w:rPr>
          <w:t>obras@luzerna.sc.gov.br</w:t>
        </w:r>
      </w:hyperlink>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E24A37"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.2.1.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w:t>
      </w:r>
      <w:r w:rsidRPr="0028453A">
        <w:rPr>
          <w:rFonts w:ascii="Arial Narrow" w:hAnsi="Arial Narrow"/>
          <w:sz w:val="21"/>
          <w:szCs w:val="21"/>
          <w:lang w:eastAsia="ar-SA"/>
        </w:rPr>
        <w:lastRenderedPageBreak/>
        <w:t>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lastRenderedPageBreak/>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6BBAFFC5"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271A2BEF"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04.006.15.451.0400.2.406-Manutenção dos serviços na área urbana</w:t>
            </w:r>
          </w:p>
          <w:p w14:paraId="32142B05" w14:textId="77777777" w:rsidR="00D779D3" w:rsidRPr="00D779D3" w:rsidRDefault="00D779D3" w:rsidP="00D779D3">
            <w:pPr>
              <w:jc w:val="both"/>
              <w:rPr>
                <w:rFonts w:ascii="Arial Narrow" w:hAnsi="Arial Narrow"/>
                <w:bCs/>
                <w:iCs/>
                <w:sz w:val="21"/>
                <w:szCs w:val="21"/>
              </w:rPr>
            </w:pPr>
            <w:r w:rsidRPr="00D779D3">
              <w:rPr>
                <w:rFonts w:ascii="Arial Narrow" w:hAnsi="Arial Narrow"/>
                <w:bCs/>
                <w:iCs/>
                <w:sz w:val="21"/>
                <w:szCs w:val="21"/>
              </w:rPr>
              <w:t>04.007.15.782.0400.2.407-Manutenção dos serviços da área rural</w:t>
            </w:r>
          </w:p>
          <w:p w14:paraId="2BA13FA5" w14:textId="0FCFC292" w:rsidR="00EF1359" w:rsidRDefault="00D779D3" w:rsidP="00D779D3">
            <w:pPr>
              <w:jc w:val="both"/>
              <w:rPr>
                <w:rFonts w:ascii="Arial Narrow" w:hAnsi="Arial Narrow"/>
                <w:bCs/>
                <w:iCs/>
                <w:sz w:val="21"/>
                <w:szCs w:val="21"/>
              </w:rPr>
            </w:pPr>
            <w:r w:rsidRPr="00D779D3">
              <w:rPr>
                <w:rFonts w:ascii="Arial Narrow" w:hAnsi="Arial Narrow"/>
                <w:bCs/>
                <w:iCs/>
                <w:sz w:val="21"/>
                <w:szCs w:val="21"/>
              </w:rPr>
              <w:t>04.008.15.451.0400.2.408- Manutenção e conservação de prédios públicos</w:t>
            </w:r>
          </w:p>
          <w:p w14:paraId="30681AA8" w14:textId="77777777" w:rsidR="00D779D3" w:rsidRPr="00314403" w:rsidRDefault="00D779D3" w:rsidP="00D779D3">
            <w:pPr>
              <w:jc w:val="both"/>
              <w:rPr>
                <w:rFonts w:ascii="Arial Narrow" w:hAnsi="Arial Narrow"/>
                <w:b/>
                <w:i/>
                <w:sz w:val="21"/>
                <w:szCs w:val="21"/>
                <w:u w:val="single"/>
              </w:rPr>
            </w:pPr>
          </w:p>
          <w:p w14:paraId="641377D4"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59E8E684" w14:textId="77777777" w:rsidR="00EF1359" w:rsidRPr="00314403" w:rsidRDefault="00EF1359" w:rsidP="00EF1359">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56E04260" w14:textId="77777777" w:rsidR="00EF1359" w:rsidRPr="00314403" w:rsidRDefault="00EF1359" w:rsidP="00EF1359">
            <w:pPr>
              <w:jc w:val="both"/>
              <w:rPr>
                <w:rFonts w:ascii="Arial Narrow" w:hAnsi="Arial Narrow"/>
                <w:bCs/>
                <w:iCs/>
                <w:sz w:val="21"/>
                <w:szCs w:val="21"/>
              </w:rPr>
            </w:pPr>
          </w:p>
          <w:p w14:paraId="745F3058" w14:textId="77777777" w:rsidR="00EF1359" w:rsidRPr="00314403" w:rsidRDefault="00EF1359" w:rsidP="00EF1359">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02CE8726" w:rsidR="00175871" w:rsidRPr="00C47450" w:rsidRDefault="00EF1359" w:rsidP="00EF1359">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338BFD87"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A22767">
        <w:rPr>
          <w:rFonts w:ascii="Arial Narrow" w:hAnsi="Arial Narrow" w:cs="Arial"/>
          <w:sz w:val="21"/>
          <w:szCs w:val="21"/>
        </w:rPr>
        <w:t>01</w:t>
      </w:r>
      <w:r w:rsidR="00734E26">
        <w:rPr>
          <w:rFonts w:ascii="Arial Narrow" w:hAnsi="Arial Narrow" w:cs="Arial"/>
          <w:sz w:val="21"/>
          <w:szCs w:val="21"/>
        </w:rPr>
        <w:t xml:space="preserve"> de </w:t>
      </w:r>
      <w:r w:rsidR="00A22767">
        <w:rPr>
          <w:rFonts w:ascii="Arial Narrow" w:hAnsi="Arial Narrow" w:cs="Arial"/>
          <w:sz w:val="21"/>
          <w:szCs w:val="21"/>
        </w:rPr>
        <w:t>abril</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4A22E2F" w14:textId="77777777" w:rsidR="00A22767" w:rsidRPr="00DE0484" w:rsidRDefault="00A22767"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CD2A1F4" w14:textId="09E75C2D" w:rsidR="00A22767" w:rsidRPr="00DE0484" w:rsidRDefault="007243C6"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6BB070E" w14:textId="6B53131E" w:rsidR="00464796" w:rsidRDefault="007243C6" w:rsidP="00464796">
      <w:pPr>
        <w:jc w:val="center"/>
      </w:pPr>
      <w:r>
        <w:rPr>
          <w:rFonts w:ascii="Arial Narrow" w:hAnsi="Arial Narrow" w:cs="Arial"/>
          <w:b/>
          <w:sz w:val="21"/>
          <w:szCs w:val="21"/>
        </w:rPr>
        <w:t>SERGIO CAMARA ALVES</w:t>
      </w:r>
    </w:p>
    <w:p w14:paraId="4B4103B2" w14:textId="77777777" w:rsidR="007243C6" w:rsidRDefault="007243C6"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BRITASUL COMÉRCIO DE PEDRAS</w:t>
      </w:r>
      <w:r w:rsidRPr="00C73F23">
        <w:rPr>
          <w:rFonts w:ascii="Arial Narrow" w:hAnsi="Arial Narrow" w:cs="Arial"/>
          <w:b/>
          <w:sz w:val="21"/>
          <w:szCs w:val="21"/>
        </w:rPr>
        <w:t xml:space="preserve"> LTDA</w:t>
      </w:r>
    </w:p>
    <w:p w14:paraId="3C8E9642" w14:textId="3BF1EDEA"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04AC2">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E12E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E12E01" w:rsidP="00DC30E5">
          <w:pPr>
            <w:pStyle w:val="Cabealho"/>
            <w:rPr>
              <w:rFonts w:ascii="Arial Narrow" w:hAnsi="Arial Narrow"/>
              <w:sz w:val="24"/>
              <w:szCs w:val="24"/>
            </w:rPr>
          </w:pPr>
        </w:p>
      </w:tc>
    </w:tr>
  </w:tbl>
  <w:p w14:paraId="588B156A" w14:textId="77777777" w:rsidR="008351D6" w:rsidRDefault="00E12E01"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67284"/>
    <w:rsid w:val="000C67D2"/>
    <w:rsid w:val="0010483D"/>
    <w:rsid w:val="00104AC2"/>
    <w:rsid w:val="00175871"/>
    <w:rsid w:val="001E50F8"/>
    <w:rsid w:val="00242924"/>
    <w:rsid w:val="00321DF2"/>
    <w:rsid w:val="00330243"/>
    <w:rsid w:val="00352F1C"/>
    <w:rsid w:val="003C2F4A"/>
    <w:rsid w:val="00464796"/>
    <w:rsid w:val="004F7BE0"/>
    <w:rsid w:val="005708B7"/>
    <w:rsid w:val="005848E4"/>
    <w:rsid w:val="005E63DE"/>
    <w:rsid w:val="00661335"/>
    <w:rsid w:val="00680154"/>
    <w:rsid w:val="006F28FE"/>
    <w:rsid w:val="007243C6"/>
    <w:rsid w:val="0072641B"/>
    <w:rsid w:val="007336D4"/>
    <w:rsid w:val="00734E26"/>
    <w:rsid w:val="00835AEF"/>
    <w:rsid w:val="00847A19"/>
    <w:rsid w:val="008572A3"/>
    <w:rsid w:val="008A5E8D"/>
    <w:rsid w:val="009524BB"/>
    <w:rsid w:val="009F735D"/>
    <w:rsid w:val="009F7A23"/>
    <w:rsid w:val="00A22767"/>
    <w:rsid w:val="00A53A24"/>
    <w:rsid w:val="00AE4F78"/>
    <w:rsid w:val="00B108A2"/>
    <w:rsid w:val="00B32CF2"/>
    <w:rsid w:val="00B55F84"/>
    <w:rsid w:val="00B61411"/>
    <w:rsid w:val="00B91FA0"/>
    <w:rsid w:val="00BC2FA4"/>
    <w:rsid w:val="00C00DD4"/>
    <w:rsid w:val="00D65ECD"/>
    <w:rsid w:val="00D779D3"/>
    <w:rsid w:val="00DF4149"/>
    <w:rsid w:val="00E12E01"/>
    <w:rsid w:val="00E14AD7"/>
    <w:rsid w:val="00EF1359"/>
    <w:rsid w:val="00F25D41"/>
    <w:rsid w:val="00FB2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ras@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3586</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31</cp:revision>
  <cp:lastPrinted>2020-12-03T21:12:00Z</cp:lastPrinted>
  <dcterms:created xsi:type="dcterms:W3CDTF">2020-12-03T19:57:00Z</dcterms:created>
  <dcterms:modified xsi:type="dcterms:W3CDTF">2022-04-04T16:18:00Z</dcterms:modified>
</cp:coreProperties>
</file>